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10B8D" w14:textId="77777777" w:rsidR="004D18C4" w:rsidRDefault="004D18C4" w:rsidP="004D18C4">
      <w:pPr>
        <w:jc w:val="center"/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контроля</w:t>
      </w:r>
    </w:p>
    <w:p w14:paraId="34C50D65" w14:textId="77777777" w:rsidR="004D18C4" w:rsidRDefault="004D18C4" w:rsidP="004D18C4">
      <w:pPr>
        <w:jc w:val="center"/>
      </w:pPr>
    </w:p>
    <w:p w14:paraId="069FA81F" w14:textId="77777777" w:rsidR="004D18C4" w:rsidRDefault="004D18C4" w:rsidP="004D18C4">
      <w:pPr>
        <w:jc w:val="both"/>
      </w:pPr>
      <w:r>
        <w:rPr>
          <w:rFonts w:ascii="Times New Roman" w:hAnsi="Times New Roman"/>
          <w:sz w:val="28"/>
          <w:szCs w:val="28"/>
        </w:rPr>
        <w:t>Поступление в контрольный орган информации об увеличении на 15 и более процентов количества граждан, обратившихся за оказанием травматологической помощи в связи с получением травмы на территории обслуживания организации, к обязанностям которой отнесено выполнение работ по уборке объектов и элементов благоустройства, в течение двух календарных недель по сравнению с аналогичным предшествующим периодом времени.</w:t>
      </w:r>
    </w:p>
    <w:p w14:paraId="5614AC67" w14:textId="77777777" w:rsidR="004D18C4" w:rsidRDefault="004D18C4"/>
    <w:sectPr w:rsidR="004D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C4"/>
    <w:rsid w:val="004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F103"/>
  <w15:chartTrackingRefBased/>
  <w15:docId w15:val="{C7C00DCA-43E3-4485-BCBC-B55F1E77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8C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2024-04-01T14:05:00Z</dcterms:created>
  <dcterms:modified xsi:type="dcterms:W3CDTF">2024-04-01T14:06:00Z</dcterms:modified>
</cp:coreProperties>
</file>