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C" w:rsidRPr="00CC0C21" w:rsidRDefault="00F47B4C" w:rsidP="00F47B4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CC0C21">
        <w:rPr>
          <w:rFonts w:cs="Times New Roman"/>
          <w:sz w:val="28"/>
          <w:szCs w:val="28"/>
        </w:rPr>
        <w:t xml:space="preserve">Рейтинг </w:t>
      </w:r>
      <w:r w:rsidRPr="00CC0C21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CC0C21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Сланцевское городское поселение</w:t>
      </w:r>
      <w:r w:rsidRPr="00CC0C21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Сланцевский муниципальный район Ленинградской области</w:t>
      </w:r>
      <w:r w:rsidRPr="00CC0C21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CC0C21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CC0C21">
        <w:rPr>
          <w:rFonts w:cs="Times New Roman"/>
          <w:sz w:val="28"/>
          <w:szCs w:val="28"/>
        </w:rPr>
        <w:br/>
        <w:t>за 202</w:t>
      </w:r>
      <w:r w:rsidR="00CC0C21" w:rsidRPr="00CC0C21">
        <w:rPr>
          <w:rFonts w:cs="Times New Roman"/>
          <w:sz w:val="28"/>
          <w:szCs w:val="28"/>
        </w:rPr>
        <w:t>3</w:t>
      </w:r>
      <w:r w:rsidRPr="00CC0C21">
        <w:rPr>
          <w:rFonts w:cs="Times New Roman"/>
          <w:sz w:val="28"/>
          <w:szCs w:val="28"/>
        </w:rPr>
        <w:t xml:space="preserve"> год</w:t>
      </w:r>
    </w:p>
    <w:p w:rsidR="00F065B7" w:rsidRPr="00BD3EB1" w:rsidRDefault="00F065B7" w:rsidP="00F065B7">
      <w:pPr>
        <w:tabs>
          <w:tab w:val="left" w:pos="993"/>
        </w:tabs>
        <w:jc w:val="both"/>
        <w:rPr>
          <w:rFonts w:cs="Times New Roman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243A4B" w:rsidRPr="00243A4B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243A4B" w:rsidRPr="00243A4B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243A4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43A4B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243A4B" w:rsidRPr="00243A4B" w:rsidTr="00FA6340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3EB1" w:rsidRPr="00243A4B" w:rsidRDefault="00BD3EB1" w:rsidP="00BD3EB1">
            <w:pPr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BD3EB1" w:rsidRPr="00243A4B" w:rsidRDefault="00063512" w:rsidP="00BD3EB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3A4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BD3EB1" w:rsidRPr="00243A4B" w:rsidRDefault="00243A4B" w:rsidP="00BD3EB1">
            <w:pPr>
              <w:jc w:val="center"/>
              <w:rPr>
                <w:sz w:val="21"/>
                <w:szCs w:val="21"/>
              </w:rPr>
            </w:pPr>
            <w:r w:rsidRPr="00243A4B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BD3EB1" w:rsidRPr="00243A4B" w:rsidRDefault="00243A4B" w:rsidP="00BD3EB1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25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BD3EB1" w:rsidRPr="00243A4B" w:rsidRDefault="00243A4B" w:rsidP="00BD3EB1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BD3EB1" w:rsidRPr="00243A4B" w:rsidRDefault="00243A4B" w:rsidP="00BD3EB1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BD3EB1" w:rsidRPr="00243A4B" w:rsidRDefault="00243A4B" w:rsidP="00BD3EB1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D3EB1" w:rsidRPr="00243A4B" w:rsidRDefault="00243A4B" w:rsidP="00BD3EB1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4</w:t>
            </w:r>
          </w:p>
        </w:tc>
      </w:tr>
      <w:tr w:rsidR="00243A4B" w:rsidRPr="00243A4B" w:rsidTr="000B379F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243A4B" w:rsidRDefault="000B379F" w:rsidP="000B379F">
            <w:pPr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063512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3A4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243A4B" w:rsidP="000B379F">
            <w:pPr>
              <w:jc w:val="center"/>
              <w:rPr>
                <w:sz w:val="21"/>
                <w:szCs w:val="21"/>
              </w:rPr>
            </w:pPr>
            <w:r w:rsidRPr="00243A4B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24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4</w:t>
            </w:r>
          </w:p>
        </w:tc>
      </w:tr>
      <w:tr w:rsidR="00243A4B" w:rsidRPr="00243A4B" w:rsidTr="000B379F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3A4B" w:rsidRPr="00243A4B" w:rsidRDefault="00243A4B" w:rsidP="00243A4B">
            <w:pPr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МКУК "КДЦ"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243A4B" w:rsidRPr="00243A4B" w:rsidRDefault="00243A4B" w:rsidP="00243A4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3A4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243A4B" w:rsidRPr="00243A4B" w:rsidRDefault="00243A4B" w:rsidP="00243A4B">
            <w:pPr>
              <w:jc w:val="center"/>
              <w:rPr>
                <w:sz w:val="21"/>
                <w:szCs w:val="21"/>
              </w:rPr>
            </w:pPr>
            <w:r w:rsidRPr="00243A4B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243A4B" w:rsidRPr="00243A4B" w:rsidRDefault="00243A4B" w:rsidP="00243A4B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243A4B" w:rsidRPr="00243A4B" w:rsidRDefault="00243A4B" w:rsidP="00243A4B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243A4B" w:rsidRPr="00243A4B" w:rsidRDefault="00243A4B" w:rsidP="00243A4B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243A4B" w:rsidRPr="00243A4B" w:rsidRDefault="00243A4B" w:rsidP="00243A4B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243A4B" w:rsidRPr="00243A4B" w:rsidRDefault="00243A4B" w:rsidP="00243A4B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4</w:t>
            </w:r>
          </w:p>
        </w:tc>
      </w:tr>
      <w:tr w:rsidR="00243A4B" w:rsidRPr="00243A4B" w:rsidTr="000B379F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243A4B" w:rsidRDefault="000B379F" w:rsidP="000B379F">
            <w:pPr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0B379F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3A4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  <w:r w:rsidR="00063512" w:rsidRPr="00243A4B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243A4B" w:rsidP="000B379F">
            <w:pPr>
              <w:jc w:val="center"/>
              <w:rPr>
                <w:sz w:val="21"/>
                <w:szCs w:val="21"/>
              </w:rPr>
            </w:pPr>
            <w:r w:rsidRPr="00243A4B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243A4B" w:rsidRDefault="00243A4B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243A4B">
              <w:rPr>
                <w:sz w:val="20"/>
                <w:szCs w:val="20"/>
              </w:rPr>
              <w:t>1</w:t>
            </w:r>
          </w:p>
        </w:tc>
      </w:tr>
    </w:tbl>
    <w:p w:rsidR="00243A4B" w:rsidRPr="00243A4B" w:rsidRDefault="00243A4B">
      <w:pPr>
        <w:widowControl/>
        <w:suppressAutoHyphens w:val="0"/>
        <w:rPr>
          <w:sz w:val="20"/>
          <w:szCs w:val="20"/>
        </w:rPr>
      </w:pPr>
    </w:p>
    <w:p w:rsidR="00630472" w:rsidRPr="00243A4B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243A4B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243A4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243A4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 района от 22.02.2019 № 207-п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(с изменениями, внесенными постановлени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21.07.2020 № 950-п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, от 11.08.2023 № 1308-п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комитетом финансов администрации муниципального образования Сланцевский муниципальный район Ленинградской</w:t>
      </w:r>
      <w:proofErr w:type="gramEnd"/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 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</w:t>
      </w:r>
      <w:proofErr w:type="gramStart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 (далее – ГРБС)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0F1CA8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243A4B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 </w:t>
      </w:r>
      <w:r w:rsidR="00427D0D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120E8A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 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баллов,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баллов,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а, одному ГРБС присвоен 1 балл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243A4B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 процедуры санкционирования расходов за счет средств бюджета</w:t>
      </w:r>
      <w:r w:rsidR="006630E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«Исполнение бюджета» ни одному ГРБС не присвоено максимально возможное значение 13 баллов, </w:t>
      </w:r>
      <w:r w:rsidR="005F30F0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ГРБС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1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одному ГРБС  присвоено 11 баллов,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дву</w:t>
      </w:r>
      <w:r w:rsidR="00986E52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 </w:t>
      </w:r>
      <w:r w:rsidR="005F30F0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ГРБС присвоено 9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243A4B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="00CF29AC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</w:t>
      </w:r>
      <w:r w:rsidR="005347A9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 возможное значение 3 балла,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одному ГРБС присвоено 2</w:t>
      </w:r>
      <w:r w:rsidR="00E56CF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</w:t>
      </w:r>
      <w:r w:rsidR="00CF29AC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47A9" w:rsidRPr="00243A4B" w:rsidRDefault="005347A9" w:rsidP="005347A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</w:t>
      </w:r>
      <w:r w:rsidR="00462D4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контроля»</w:t>
      </w:r>
      <w:r w:rsidR="00462D47">
        <w:rPr>
          <w:rFonts w:eastAsiaTheme="minorHAnsi" w:cs="Times New Roman"/>
          <w:kern w:val="0"/>
          <w:sz w:val="28"/>
          <w:szCs w:val="28"/>
          <w:lang w:eastAsia="en-US" w:bidi="ar-SA"/>
        </w:rPr>
        <w:t>, «</w:t>
      </w:r>
      <w:r w:rsidR="00462D47" w:rsidRPr="00462D47">
        <w:rPr>
          <w:rFonts w:eastAsiaTheme="minorHAnsi" w:cs="Times New Roman"/>
          <w:kern w:val="0"/>
          <w:sz w:val="28"/>
          <w:szCs w:val="28"/>
          <w:lang w:eastAsia="en-US" w:bidi="ar-SA"/>
        </w:rPr>
        <w:t>Несоблюдение</w:t>
      </w:r>
      <w:proofErr w:type="gramEnd"/>
      <w:r w:rsidR="00462D47" w:rsidRPr="00462D4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правил планирования закупок</w:t>
      </w:r>
      <w:r w:rsidR="00462D47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462D47" w:rsidRPr="00462D47">
        <w:rPr>
          <w:rFonts w:eastAsiaTheme="minorHAnsi" w:cs="Times New Roman"/>
          <w:kern w:val="0"/>
          <w:sz w:val="28"/>
          <w:szCs w:val="28"/>
          <w:lang w:eastAsia="en-US" w:bidi="ar-SA"/>
        </w:rPr>
        <w:t>Нарушение порядка принятия бюджетных обязательств на закупку товаров, работ, услуг</w:t>
      </w:r>
      <w:r w:rsidR="00462D47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По направлению оценки «Осуществление внутреннего финансового контроля и аудита» </w:t>
      </w:r>
      <w:r w:rsidR="005F30F0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значение 4 балла</w:t>
      </w:r>
      <w:r w:rsidR="005F30F0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одному ГРБС присвоен </w:t>
      </w:r>
      <w:r w:rsidR="00243A4B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5F30F0"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6422A4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A6340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5347A9" w:rsidRPr="00FA634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ансового менеджмента ГРБС за </w:t>
      </w:r>
      <w:r w:rsidR="005347A9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202</w:t>
      </w:r>
      <w:r w:rsidR="00FA634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5347A9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FA634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6422A4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5F30F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FA634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="005F30F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="005F30F0" w:rsidRPr="006422A4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="005F30F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F29AC" w:rsidRPr="006422A4" w:rsidRDefault="00CF29AC" w:rsidP="00CF29AC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</w:t>
      </w:r>
      <w:r w:rsidR="00133A3C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</w:t>
      </w:r>
      <w:r w:rsidR="00FA6340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8812D5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6422A4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8812D5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РБС 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произошло </w:t>
      </w:r>
      <w:r w:rsidR="006422A4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увеличение значения итоговой оценки, по одному ГРБС произошло снижение значения итоговой</w:t>
      </w:r>
      <w:r w:rsidR="00BC0D3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оценки, по одному ГРБС значение</w:t>
      </w:r>
      <w:r w:rsidR="006422A4"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итоговой оценки </w:t>
      </w:r>
      <w:r w:rsidR="00BC0D31">
        <w:rPr>
          <w:rFonts w:eastAsiaTheme="minorHAnsi" w:cs="Times New Roman"/>
          <w:kern w:val="0"/>
          <w:sz w:val="28"/>
          <w:szCs w:val="28"/>
          <w:lang w:eastAsia="en-US" w:bidi="ar-SA"/>
        </w:rPr>
        <w:t>сохранило</w:t>
      </w:r>
      <w:bookmarkStart w:id="0" w:name="_GoBack"/>
      <w:bookmarkEnd w:id="0"/>
      <w:r w:rsidR="00BC0D31" w:rsidRPr="00BC0D31">
        <w:rPr>
          <w:rFonts w:eastAsiaTheme="minorHAnsi" w:cs="Times New Roman"/>
          <w:kern w:val="0"/>
          <w:sz w:val="28"/>
          <w:szCs w:val="28"/>
          <w:lang w:eastAsia="en-US" w:bidi="ar-SA"/>
        </w:rPr>
        <w:t>сь на прежнем уровне</w:t>
      </w:r>
      <w:r w:rsidRPr="006422A4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CC0C21" w:rsidRPr="006422A4" w:rsidTr="000B379F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4100DC" w:rsidRPr="006422A4" w:rsidRDefault="004100DC" w:rsidP="000B379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4100DC" w:rsidRPr="006422A4" w:rsidRDefault="004100DC" w:rsidP="00FF15B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 xml:space="preserve">Оценка за </w:t>
            </w:r>
            <w:r w:rsidR="00FA6340" w:rsidRPr="006422A4">
              <w:rPr>
                <w:rFonts w:cs="Times New Roman"/>
                <w:sz w:val="20"/>
                <w:szCs w:val="20"/>
              </w:rPr>
              <w:t>2023</w:t>
            </w:r>
            <w:r w:rsidRPr="006422A4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4100DC" w:rsidRPr="006422A4" w:rsidRDefault="004100DC" w:rsidP="00FA6340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Оценка за 202</w:t>
            </w:r>
            <w:r w:rsidR="00FA6340" w:rsidRPr="006422A4">
              <w:rPr>
                <w:rFonts w:cs="Times New Roman"/>
                <w:sz w:val="20"/>
                <w:szCs w:val="20"/>
              </w:rPr>
              <w:t>2</w:t>
            </w:r>
            <w:r w:rsidRPr="006422A4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100DC" w:rsidRPr="006422A4" w:rsidRDefault="004100DC" w:rsidP="00FA6340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Измене</w:t>
            </w:r>
            <w:r w:rsidRPr="006422A4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CC0C21" w:rsidRPr="006422A4" w:rsidTr="000B379F">
        <w:trPr>
          <w:trHeight w:val="526"/>
        </w:trPr>
        <w:tc>
          <w:tcPr>
            <w:tcW w:w="1684" w:type="pct"/>
            <w:vMerge/>
            <w:vAlign w:val="center"/>
          </w:tcPr>
          <w:p w:rsidR="00FF15BB" w:rsidRPr="006422A4" w:rsidRDefault="00FF15BB" w:rsidP="000B379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FF15BB" w:rsidRPr="006422A4" w:rsidRDefault="00FF15BB" w:rsidP="00FA6340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FF15BB" w:rsidRPr="006422A4" w:rsidRDefault="00FF15BB" w:rsidP="00FA6340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F15BB" w:rsidRPr="006422A4" w:rsidRDefault="00FF15BB" w:rsidP="00FA6340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FF15BB" w:rsidRPr="006422A4" w:rsidRDefault="00FF15BB" w:rsidP="00FA6340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FF15BB" w:rsidRPr="006422A4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FF15BB" w:rsidRPr="006422A4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6422A4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FF15BB" w:rsidRPr="006422A4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6340" w:rsidRPr="006422A4" w:rsidTr="00FA6340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340" w:rsidRPr="006422A4" w:rsidRDefault="00FA6340" w:rsidP="00FA6340">
            <w:pPr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25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A6340" w:rsidRPr="006422A4" w:rsidRDefault="006422A4" w:rsidP="00FA634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422A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A6340" w:rsidRPr="006422A4" w:rsidTr="00FA6340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340" w:rsidRPr="006422A4" w:rsidRDefault="00FA6340" w:rsidP="00FA6340">
            <w:pPr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A6340" w:rsidRPr="006422A4" w:rsidRDefault="006422A4" w:rsidP="00FA634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422A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A6340" w:rsidRPr="006422A4" w:rsidTr="00FA6340">
        <w:trPr>
          <w:trHeight w:val="28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340" w:rsidRPr="006422A4" w:rsidRDefault="00FA6340" w:rsidP="00FA6340">
            <w:pPr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МКУК "КДЦ"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  <w:r w:rsidRPr="006422A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17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  <w:r w:rsidRPr="006422A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A6340" w:rsidRPr="006422A4" w:rsidRDefault="006422A4" w:rsidP="00FA634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422A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FA6340" w:rsidRPr="006422A4" w:rsidTr="00FA6340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340" w:rsidRPr="006422A4" w:rsidRDefault="00FA6340" w:rsidP="00FA6340">
            <w:pPr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  <w:r w:rsidRPr="006422A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15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A6340" w:rsidRPr="006422A4" w:rsidRDefault="00FA6340" w:rsidP="00FA6340">
            <w:pPr>
              <w:jc w:val="center"/>
              <w:rPr>
                <w:sz w:val="20"/>
                <w:szCs w:val="20"/>
              </w:rPr>
            </w:pPr>
            <w:r w:rsidRPr="006422A4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A6340" w:rsidRPr="006422A4" w:rsidRDefault="006422A4" w:rsidP="00FA634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422A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F065B7" w:rsidRPr="006422A4" w:rsidRDefault="00F065B7" w:rsidP="00FB6C66">
      <w:pPr>
        <w:tabs>
          <w:tab w:val="left" w:pos="993"/>
        </w:tabs>
        <w:ind w:firstLine="709"/>
        <w:jc w:val="both"/>
      </w:pPr>
    </w:p>
    <w:sectPr w:rsidR="00F065B7" w:rsidRPr="006422A4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63512"/>
    <w:rsid w:val="000B379F"/>
    <w:rsid w:val="000F1CA8"/>
    <w:rsid w:val="00120E8A"/>
    <w:rsid w:val="00133A3C"/>
    <w:rsid w:val="00145973"/>
    <w:rsid w:val="001B3A64"/>
    <w:rsid w:val="00243A4B"/>
    <w:rsid w:val="00370A60"/>
    <w:rsid w:val="004100DC"/>
    <w:rsid w:val="00427D0D"/>
    <w:rsid w:val="00462D47"/>
    <w:rsid w:val="005347A9"/>
    <w:rsid w:val="005F30F0"/>
    <w:rsid w:val="00630472"/>
    <w:rsid w:val="006422A4"/>
    <w:rsid w:val="006630E9"/>
    <w:rsid w:val="006C2028"/>
    <w:rsid w:val="007C6683"/>
    <w:rsid w:val="008812D5"/>
    <w:rsid w:val="008A2939"/>
    <w:rsid w:val="008D2215"/>
    <w:rsid w:val="00986E52"/>
    <w:rsid w:val="00A21676"/>
    <w:rsid w:val="00A827EC"/>
    <w:rsid w:val="00AF0F24"/>
    <w:rsid w:val="00BB559D"/>
    <w:rsid w:val="00BC0D31"/>
    <w:rsid w:val="00BD3EB1"/>
    <w:rsid w:val="00BE659D"/>
    <w:rsid w:val="00CC0C21"/>
    <w:rsid w:val="00CF29AC"/>
    <w:rsid w:val="00D320E8"/>
    <w:rsid w:val="00D838AF"/>
    <w:rsid w:val="00E56CFB"/>
    <w:rsid w:val="00E606B9"/>
    <w:rsid w:val="00E97604"/>
    <w:rsid w:val="00EA6197"/>
    <w:rsid w:val="00F065B7"/>
    <w:rsid w:val="00F47B4C"/>
    <w:rsid w:val="00FA6340"/>
    <w:rsid w:val="00FB6C6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24</cp:revision>
  <cp:lastPrinted>2021-03-03T07:23:00Z</cp:lastPrinted>
  <dcterms:created xsi:type="dcterms:W3CDTF">2019-03-13T05:44:00Z</dcterms:created>
  <dcterms:modified xsi:type="dcterms:W3CDTF">2024-03-05T09:15:00Z</dcterms:modified>
</cp:coreProperties>
</file>