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6A" w:rsidRPr="00766339" w:rsidRDefault="00FF6E6A" w:rsidP="00FF6E6A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766339">
        <w:rPr>
          <w:rFonts w:cs="Times New Roman"/>
          <w:sz w:val="28"/>
          <w:szCs w:val="28"/>
        </w:rPr>
        <w:t xml:space="preserve">Рейтинг </w:t>
      </w:r>
      <w:r w:rsidRPr="00766339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 муниципального</w:t>
      </w:r>
      <w:r w:rsidRPr="00766339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образования Сланцевский муниципальный район Ленинградской области</w:t>
      </w:r>
      <w:r w:rsidRPr="00766339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766339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766339">
        <w:rPr>
          <w:rFonts w:cs="Times New Roman"/>
          <w:sz w:val="28"/>
          <w:szCs w:val="28"/>
        </w:rPr>
        <w:br/>
        <w:t>за 202</w:t>
      </w:r>
      <w:r w:rsidR="00766339" w:rsidRPr="00766339">
        <w:rPr>
          <w:rFonts w:cs="Times New Roman"/>
          <w:sz w:val="28"/>
          <w:szCs w:val="28"/>
        </w:rPr>
        <w:t>1</w:t>
      </w:r>
      <w:r w:rsidRPr="00766339">
        <w:rPr>
          <w:rFonts w:cs="Times New Roman"/>
          <w:sz w:val="28"/>
          <w:szCs w:val="28"/>
        </w:rPr>
        <w:t xml:space="preserve"> год</w:t>
      </w:r>
    </w:p>
    <w:p w:rsidR="00F065B7" w:rsidRPr="00766339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3"/>
        <w:gridCol w:w="990"/>
        <w:gridCol w:w="709"/>
        <w:gridCol w:w="1134"/>
        <w:gridCol w:w="992"/>
        <w:gridCol w:w="992"/>
        <w:gridCol w:w="992"/>
        <w:gridCol w:w="959"/>
      </w:tblGrid>
      <w:tr w:rsidR="00766339" w:rsidRPr="00766339" w:rsidTr="00766339">
        <w:trPr>
          <w:trHeight w:val="360"/>
        </w:trPr>
        <w:tc>
          <w:tcPr>
            <w:tcW w:w="175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766339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766339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6581F" w:rsidRPr="00766339" w:rsidRDefault="00F6581F" w:rsidP="00665092">
            <w:pPr>
              <w:tabs>
                <w:tab w:val="left" w:pos="993"/>
              </w:tabs>
              <w:ind w:left="-108" w:right="-107"/>
              <w:jc w:val="center"/>
              <w:rPr>
                <w:rFonts w:cs="Times New Roman"/>
                <w:sz w:val="22"/>
                <w:szCs w:val="28"/>
              </w:rPr>
            </w:pPr>
            <w:r w:rsidRPr="00766339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581F" w:rsidRPr="00672BBF" w:rsidRDefault="00F6581F" w:rsidP="00766339">
            <w:pPr>
              <w:tabs>
                <w:tab w:val="left" w:pos="993"/>
              </w:tabs>
              <w:ind w:left="-107" w:right="-109"/>
              <w:jc w:val="center"/>
              <w:rPr>
                <w:rFonts w:cs="Times New Roman"/>
                <w:sz w:val="22"/>
                <w:szCs w:val="28"/>
              </w:rPr>
            </w:pPr>
            <w:r w:rsidRPr="00672BBF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6581F" w:rsidRPr="00766339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766339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188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81F" w:rsidRPr="00766339" w:rsidRDefault="00F6581F" w:rsidP="00F6581F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766339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766339" w:rsidRPr="00766339" w:rsidTr="00766339">
        <w:trPr>
          <w:trHeight w:val="2921"/>
        </w:trPr>
        <w:tc>
          <w:tcPr>
            <w:tcW w:w="175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81F" w:rsidRPr="00766339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581F" w:rsidRPr="00766339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6581F" w:rsidRPr="00672BBF" w:rsidRDefault="00F6581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81F" w:rsidRPr="00766339" w:rsidRDefault="00F6581F" w:rsidP="00F6581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766339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766339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F6581F" w:rsidRPr="00766339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766339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766339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766339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F6581F" w:rsidRPr="00766339" w:rsidRDefault="00F6581F" w:rsidP="00F6581F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766339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766339" w:rsidRPr="00766339" w:rsidTr="00766339">
        <w:trPr>
          <w:trHeight w:val="510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депутатов Сланцевского муниципального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 w:rsidP="00F6581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72BB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174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 w:rsidRPr="00672BBF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"Гостицкий детский сад № 20"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 w:rsidRPr="00672BBF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"Новосельская ООШ"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 w:rsidRPr="00672BBF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9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"Сланцевский детский сад №4"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 w:rsidRPr="00672BBF"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9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Ревизионная комиссия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9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"СМЦРБ"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9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"Загривская СОШ"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4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"Сланцевский детский сад № 10"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9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"Сланцевский детский сад № 3"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"Старопольская СОШ"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"РВС"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4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"Сланцевский детский сад № 7"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"Овсищенская </w:t>
            </w:r>
            <w:proofErr w:type="gramStart"/>
            <w:r>
              <w:rPr>
                <w:sz w:val="20"/>
                <w:szCs w:val="20"/>
              </w:rPr>
              <w:t>начальная</w:t>
            </w:r>
            <w:proofErr w:type="gramEnd"/>
            <w:r>
              <w:rPr>
                <w:sz w:val="20"/>
                <w:szCs w:val="20"/>
              </w:rPr>
              <w:t xml:space="preserve"> школа-детский сад"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МУДО "СППЦ"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339" w:rsidRPr="00766339" w:rsidTr="00766339">
        <w:trPr>
          <w:trHeight w:val="259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5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54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162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"Сланцевский детский сад № 2"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 w:rsidP="00987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339" w:rsidRPr="00766339" w:rsidTr="00766339">
        <w:trPr>
          <w:trHeight w:val="208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"Выскатская ООШ"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339" w:rsidRPr="00766339" w:rsidTr="00766339">
        <w:trPr>
          <w:trHeight w:val="242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"Сланцевский детский сад № 15 комбинированного вида"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339" w:rsidRPr="00766339" w:rsidTr="00766339">
        <w:trPr>
          <w:trHeight w:val="236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"Сланцевский детский сад № 5"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6339" w:rsidRPr="00766339" w:rsidTr="00766339">
        <w:trPr>
          <w:trHeight w:val="236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339" w:rsidRDefault="00766339" w:rsidP="0076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"ФОК "Сланцы"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339" w:rsidRDefault="0076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339" w:rsidRPr="00672BBF" w:rsidRDefault="00672BBF" w:rsidP="0077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339" w:rsidRDefault="00766339" w:rsidP="00766339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65092" w:rsidRPr="00766339" w:rsidRDefault="00665092" w:rsidP="00D838AF">
      <w:pPr>
        <w:widowControl/>
        <w:suppressAutoHyphens w:val="0"/>
        <w:jc w:val="center"/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</w:pPr>
    </w:p>
    <w:p w:rsidR="00665092" w:rsidRPr="00766339" w:rsidRDefault="00665092">
      <w:pPr>
        <w:widowControl/>
        <w:suppressAutoHyphens w:val="0"/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</w:pPr>
      <w:r w:rsidRPr="00766339">
        <w:rPr>
          <w:rFonts w:eastAsiaTheme="minorHAnsi" w:cs="Times New Roman"/>
          <w:color w:val="00B050"/>
          <w:kern w:val="0"/>
          <w:sz w:val="28"/>
          <w:szCs w:val="28"/>
          <w:lang w:eastAsia="en-US" w:bidi="ar-SA"/>
        </w:rPr>
        <w:br w:type="page"/>
      </w:r>
    </w:p>
    <w:p w:rsidR="00D838AF" w:rsidRPr="00E448BB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Сланцевский муниципальный район Ленинградской области</w:t>
      </w:r>
    </w:p>
    <w:p w:rsidR="00D838AF" w:rsidRPr="00E448BB" w:rsidRDefault="006E395C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>за 202</w:t>
      </w:r>
      <w:r w:rsidR="00E448BB"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D838AF"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E448BB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</w:t>
      </w:r>
      <w:r w:rsidR="006E395C"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>го района от 22.02.2019 № 207-п</w:t>
      </w:r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>, проведена оценка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(далее – ГРБС), по</w:t>
      </w:r>
      <w:proofErr w:type="gramEnd"/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>результатам</w:t>
      </w:r>
      <w:proofErr w:type="gramEnd"/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которой составлен рейтинг ГРБС по качеству финансового менеджмента.</w:t>
      </w:r>
    </w:p>
    <w:p w:rsidR="00B16A73" w:rsidRPr="00E448BB" w:rsidRDefault="00B16A73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16A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Согласно пункту 3 Порядка оценка не производилась в отношении муниципального </w:t>
      </w:r>
      <w:r w:rsidR="00C60846" w:rsidRPr="00C60846">
        <w:rPr>
          <w:rFonts w:eastAsiaTheme="minorHAnsi" w:cs="Times New Roman"/>
          <w:kern w:val="0"/>
          <w:sz w:val="28"/>
          <w:szCs w:val="28"/>
          <w:lang w:eastAsia="en-US" w:bidi="ar-SA"/>
        </w:rPr>
        <w:t>казенно</w:t>
      </w:r>
      <w:r w:rsidR="00C60846">
        <w:rPr>
          <w:rFonts w:eastAsiaTheme="minorHAnsi" w:cs="Times New Roman"/>
          <w:kern w:val="0"/>
          <w:sz w:val="28"/>
          <w:szCs w:val="28"/>
          <w:lang w:eastAsia="en-US" w:bidi="ar-SA"/>
        </w:rPr>
        <w:t>го</w:t>
      </w:r>
      <w:r w:rsidR="00C60846" w:rsidRPr="00C6084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учреждени</w:t>
      </w:r>
      <w:r w:rsidR="00C60846">
        <w:rPr>
          <w:rFonts w:eastAsiaTheme="minorHAnsi" w:cs="Times New Roman"/>
          <w:kern w:val="0"/>
          <w:sz w:val="28"/>
          <w:szCs w:val="28"/>
          <w:lang w:eastAsia="en-US" w:bidi="ar-SA"/>
        </w:rPr>
        <w:t>я «</w:t>
      </w:r>
      <w:r w:rsidR="00C60846" w:rsidRPr="00C60846">
        <w:rPr>
          <w:rFonts w:eastAsiaTheme="minorHAnsi" w:cs="Times New Roman"/>
          <w:kern w:val="0"/>
          <w:sz w:val="28"/>
          <w:szCs w:val="28"/>
          <w:lang w:eastAsia="en-US" w:bidi="ar-SA"/>
        </w:rPr>
        <w:t>Физкультурно-оздоровительный комплекс Сла</w:t>
      </w:r>
      <w:r w:rsidR="00C60846">
        <w:rPr>
          <w:rFonts w:eastAsiaTheme="minorHAnsi" w:cs="Times New Roman"/>
          <w:kern w:val="0"/>
          <w:sz w:val="28"/>
          <w:szCs w:val="28"/>
          <w:lang w:eastAsia="en-US" w:bidi="ar-SA"/>
        </w:rPr>
        <w:t>нцевского муниципального района</w:t>
      </w:r>
      <w:r w:rsidRPr="00B16A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», которое было </w:t>
      </w:r>
      <w:r w:rsidR="00C60846">
        <w:rPr>
          <w:rFonts w:eastAsiaTheme="minorHAnsi" w:cs="Times New Roman"/>
          <w:kern w:val="0"/>
          <w:sz w:val="28"/>
          <w:szCs w:val="28"/>
          <w:lang w:eastAsia="en-US" w:bidi="ar-SA"/>
        </w:rPr>
        <w:t>созд</w:t>
      </w:r>
      <w:r w:rsidRPr="00B16A73">
        <w:rPr>
          <w:rFonts w:eastAsiaTheme="minorHAnsi" w:cs="Times New Roman"/>
          <w:kern w:val="0"/>
          <w:sz w:val="28"/>
          <w:szCs w:val="28"/>
          <w:lang w:eastAsia="en-US" w:bidi="ar-SA"/>
        </w:rPr>
        <w:t>ано в 20</w:t>
      </w:r>
      <w:r w:rsidR="00C60846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B16A73">
        <w:rPr>
          <w:rFonts w:eastAsiaTheme="minorHAnsi" w:cs="Times New Roman"/>
          <w:kern w:val="0"/>
          <w:sz w:val="28"/>
          <w:szCs w:val="28"/>
          <w:lang w:eastAsia="en-US" w:bidi="ar-SA"/>
        </w:rPr>
        <w:t>1 году.</w:t>
      </w:r>
    </w:p>
    <w:p w:rsidR="00D838AF" w:rsidRPr="002A3549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E448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</w:t>
      </w:r>
      <w:r w:rsidR="006630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резервного фонда администрации)». По направлению оценки «Планирование бюджета» 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 одному </w:t>
      </w:r>
      <w:r w:rsidR="00DB436A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не</w:t>
      </w:r>
      <w:r w:rsidR="00DB436A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630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</w:t>
      </w:r>
      <w:r w:rsidR="00DB436A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DB436A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е 7 балло</w:t>
      </w:r>
      <w:r w:rsidR="008172A6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в, 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одиннадца</w:t>
      </w:r>
      <w:r w:rsidR="007E2F70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ти</w:t>
      </w:r>
      <w:r w:rsidR="008172A6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6 баллов</w:t>
      </w:r>
      <w:r w:rsidR="004F32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, остальным ГРБС присвоено от 2 до 5 баллов</w:t>
      </w:r>
      <w:r w:rsidR="008172A6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2A3549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</w:t>
      </w:r>
      <w:proofErr w:type="gramEnd"/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оплату расходов ГРБС при осуществлении процедуры санкционирования расходов за счет средств бюджета</w:t>
      </w:r>
      <w:r w:rsidR="006630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направлению оценки </w:t>
      </w:r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«Исполнение бюджета» 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одному ГРБС (Ревизионная комиссия) присвоено максимально возможное значение 13 баллов, четыре</w:t>
      </w:r>
      <w:r w:rsidR="008172A6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12 баллов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, се</w:t>
      </w:r>
      <w:r w:rsidR="00987513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ми ГРБС присвоено 11 баллов</w:t>
      </w:r>
      <w:r w:rsidR="004F32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остальным ГРБС присвоено от 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="004F32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 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10</w:t>
      </w:r>
      <w:r w:rsidR="004F32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баллов</w:t>
      </w:r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53324E" w:rsidRPr="002A3549" w:rsidRDefault="006630E9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бюджетной (бухгалтерской) отчетности», «Соблюдение ГРБС 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формирование отчетности» 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шест</w:t>
      </w:r>
      <w:r w:rsidR="00241BF4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надцати</w:t>
      </w:r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максимально возможное </w:t>
      </w:r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значение 3 балла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, сем</w:t>
      </w:r>
      <w:r w:rsidR="00427033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и ГРБС присвоено 2 балла</w:t>
      </w:r>
      <w:r w:rsidR="00E56CFB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D471A" w:rsidRPr="002A3549" w:rsidRDefault="002D471A" w:rsidP="002D471A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части показателей направления оценки «Осуществление внутреннего финансового контроля и аудита» оценка произведена по показателям </w:t>
      </w:r>
      <w:r w:rsidR="004F32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«Наличие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контроля» и «Проверка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="004F32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По направлению оценки «Осуществление внутреннего финансового контроля и аудита» 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восемнадцати ГРБС присвоено максимально возможное значение 4 балла, одному ГРБС </w:t>
      </w:r>
      <w:r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 </w:t>
      </w:r>
      <w:r w:rsidR="004F32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балл,</w:t>
      </w:r>
      <w:r w:rsidR="002A354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четырем ГРБС присвоено 0 баллов</w:t>
      </w:r>
      <w:r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D91321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финансового</w:t>
      </w:r>
      <w:r w:rsidR="004F32E9" w:rsidRPr="002A354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менеджмента ГРБС за </w:t>
      </w:r>
      <w:r w:rsidR="004F32E9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202</w:t>
      </w:r>
      <w:r w:rsidR="002A3549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2A3549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восьм</w:t>
      </w:r>
      <w:r w:rsidR="00DB436A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D91321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менеджмента, </w:t>
      </w:r>
      <w:r w:rsidR="004F32E9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т</w:t>
      </w:r>
      <w:r w:rsidR="00D91321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ри</w:t>
      </w:r>
      <w:r w:rsidR="004F32E9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над</w:t>
      </w:r>
      <w:r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цати ГРБС присвоена </w:t>
      </w:r>
      <w:r w:rsidRPr="00D91321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</w:t>
      </w:r>
      <w:r w:rsidR="004F32E9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DB436A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д</w:t>
      </w:r>
      <w:r w:rsidR="004F32E9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DB436A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у</w:t>
      </w:r>
      <w:r w:rsidR="004F32E9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DB436A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</w:t>
      </w:r>
      <w:r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D91321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III</w:t>
      </w:r>
      <w:r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</w:t>
      </w:r>
      <w:r w:rsidR="00DB436A"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ента</w:t>
      </w:r>
      <w:r w:rsidRPr="00D91321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41BF4" w:rsidRPr="005C1D52" w:rsidRDefault="004E35EE" w:rsidP="00241BF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r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В</w:t>
      </w:r>
      <w:r w:rsidR="00241BF4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сравнени</w:t>
      </w:r>
      <w:r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результатам</w:t>
      </w:r>
      <w:r w:rsidR="00AB79CE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41BF4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оценки качества финансового менеджмента </w:t>
      </w:r>
      <w:r w:rsidR="007E2A38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</w:t>
      </w:r>
      <w:r w:rsidR="00D91321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за 2020</w:t>
      </w:r>
      <w:r w:rsidR="00241BF4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5C1D52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пятнадцат</w:t>
      </w:r>
      <w:r w:rsidR="0085091F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значения были улучшены, по </w:t>
      </w:r>
      <w:r w:rsidR="005C1D52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шес</w:t>
      </w:r>
      <w:r w:rsidR="0085091F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т</w:t>
      </w:r>
      <w:r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и ГРБС прои</w:t>
      </w:r>
      <w:r w:rsidR="0085091F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зошло снижение показателей, по </w:t>
      </w:r>
      <w:r w:rsidR="005C1D52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дву</w:t>
      </w:r>
      <w:r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м ГРБС значени</w:t>
      </w:r>
      <w:r w:rsidR="00AB79CE"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>я сохранились на прежнем уровне: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D91321" w:rsidRPr="00D91321" w:rsidTr="00D91321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bookmarkEnd w:id="0"/>
          <w:p w:rsidR="00D91321" w:rsidRPr="00D91321" w:rsidRDefault="00D91321" w:rsidP="00D91321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91321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D91321" w:rsidRPr="00A929E7" w:rsidRDefault="00D91321" w:rsidP="00D91321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929E7">
              <w:rPr>
                <w:rFonts w:cs="Times New Roman"/>
                <w:sz w:val="20"/>
                <w:szCs w:val="20"/>
              </w:rPr>
              <w:t>Оценка за 2021 год</w:t>
            </w:r>
          </w:p>
        </w:tc>
        <w:tc>
          <w:tcPr>
            <w:tcW w:w="1422" w:type="pct"/>
            <w:gridSpan w:val="3"/>
            <w:vAlign w:val="center"/>
          </w:tcPr>
          <w:p w:rsidR="00D91321" w:rsidRPr="00A929E7" w:rsidRDefault="00D91321" w:rsidP="00D91321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929E7">
              <w:rPr>
                <w:rFonts w:cs="Times New Roman"/>
                <w:sz w:val="20"/>
                <w:szCs w:val="20"/>
              </w:rPr>
              <w:t>Оценка за 2020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1321" w:rsidRPr="00A929E7" w:rsidRDefault="00D91321" w:rsidP="00D91321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929E7">
              <w:rPr>
                <w:rFonts w:cs="Times New Roman"/>
                <w:sz w:val="20"/>
                <w:szCs w:val="20"/>
              </w:rPr>
              <w:t>Измене</w:t>
            </w:r>
            <w:r w:rsidRPr="00A929E7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D91321" w:rsidRPr="00D91321" w:rsidTr="00D91321">
        <w:trPr>
          <w:trHeight w:val="526"/>
        </w:trPr>
        <w:tc>
          <w:tcPr>
            <w:tcW w:w="1684" w:type="pct"/>
            <w:vMerge/>
            <w:vAlign w:val="center"/>
          </w:tcPr>
          <w:p w:rsidR="00D91321" w:rsidRPr="00D91321" w:rsidRDefault="00D91321" w:rsidP="00D9132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D91321" w:rsidRPr="00D91321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D91321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D91321" w:rsidRPr="00D91321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D91321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91321" w:rsidRPr="00A929E7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929E7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D91321" w:rsidRPr="00A929E7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929E7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D91321" w:rsidRPr="00A929E7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929E7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D91321" w:rsidRPr="00A929E7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929E7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D91321" w:rsidRPr="00A929E7" w:rsidRDefault="00D91321" w:rsidP="00D91321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29E7" w:rsidRPr="00D91321" w:rsidTr="00D91321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Совет депутатов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9132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sz w:val="20"/>
                <w:szCs w:val="20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A929E7" w:rsidRPr="00D91321" w:rsidTr="00D91321">
        <w:trPr>
          <w:trHeight w:val="23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МДОУ "Гостицкий детский сад № 20"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МОУ "Новосельская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ind w:right="-108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МДОУ "Сланцевский детский сад №4"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Ревизионная комиссия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МКУК "СМЦРБ"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24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МОУ "Загривская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ind w:right="-216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МДОУ "Сланцевский детский сад №10"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МДОУ "Сланцевский детский сад № 3"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sz w:val="20"/>
                <w:szCs w:val="20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A929E7" w:rsidRPr="00D91321" w:rsidTr="00D91321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МОУ "Старопольская СОШ"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МУ "РВС"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262836" w:rsidRPr="00D91321" w:rsidTr="00D91321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2836" w:rsidRPr="00D91321" w:rsidRDefault="00262836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МДОУ "Сланцевский детский сад № 7"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262836" w:rsidRPr="00D91321" w:rsidRDefault="00262836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262836" w:rsidRPr="00D91321" w:rsidRDefault="00262836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262836" w:rsidRPr="00A929E7" w:rsidRDefault="00262836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62836" w:rsidRPr="00A929E7" w:rsidRDefault="00262836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62836" w:rsidRPr="00A929E7" w:rsidRDefault="00262836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262836" w:rsidRPr="00A929E7" w:rsidRDefault="00262836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2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262836" w:rsidRPr="00A929E7" w:rsidRDefault="00A929E7" w:rsidP="00D91321">
            <w:pPr>
              <w:jc w:val="center"/>
            </w:pPr>
            <w:r>
              <w:t>=</w:t>
            </w:r>
          </w:p>
        </w:tc>
      </w:tr>
      <w:tr w:rsidR="00A929E7" w:rsidRPr="00D91321" w:rsidTr="00D91321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 xml:space="preserve">МОУ "Овсищенская </w:t>
            </w:r>
            <w:proofErr w:type="gramStart"/>
            <w:r w:rsidRPr="00D91321">
              <w:rPr>
                <w:sz w:val="20"/>
                <w:szCs w:val="20"/>
              </w:rPr>
              <w:t>начальная</w:t>
            </w:r>
            <w:proofErr w:type="gramEnd"/>
            <w:r w:rsidRPr="00D91321">
              <w:rPr>
                <w:sz w:val="20"/>
                <w:szCs w:val="20"/>
              </w:rPr>
              <w:t xml:space="preserve"> школа-детский сад"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МУДО "СППЦ"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sz w:val="20"/>
                <w:szCs w:val="20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A929E7" w:rsidRPr="00D91321" w:rsidTr="00D91321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5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06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МДОУ "Сланцевский детский сад № 2"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20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6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D9132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=</w:t>
            </w:r>
          </w:p>
        </w:tc>
      </w:tr>
      <w:tr w:rsidR="00A929E7" w:rsidRPr="00D91321" w:rsidTr="00D91321">
        <w:trPr>
          <w:trHeight w:val="238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МОУ "Выскатская ООШ"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18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A929E7" w:rsidRPr="00D91321" w:rsidTr="00D91321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B16A73">
            <w:pPr>
              <w:ind w:right="-74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МДОУ "Сланцевский детский сад № 15 комбинированного вида"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18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sz w:val="20"/>
                <w:szCs w:val="20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A929E7" w:rsidRPr="00D91321" w:rsidTr="00D91321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МДОУ "Сланцевский детский сад № 5"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17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sz w:val="20"/>
                <w:szCs w:val="20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A929E7" w:rsidRPr="00D91321" w:rsidTr="00D91321">
        <w:trPr>
          <w:trHeight w:val="242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29E7" w:rsidRPr="00D91321" w:rsidRDefault="00A929E7" w:rsidP="00D91321">
            <w:pPr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МКУ "ФОК "Сланцы"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III</w:t>
            </w:r>
          </w:p>
        </w:tc>
        <w:tc>
          <w:tcPr>
            <w:tcW w:w="474" w:type="pct"/>
            <w:vAlign w:val="bottom"/>
          </w:tcPr>
          <w:p w:rsidR="00A929E7" w:rsidRPr="00D91321" w:rsidRDefault="00A929E7" w:rsidP="00D91321">
            <w:pPr>
              <w:jc w:val="center"/>
              <w:rPr>
                <w:sz w:val="20"/>
                <w:szCs w:val="20"/>
              </w:rPr>
            </w:pPr>
            <w:r w:rsidRPr="00D91321">
              <w:rPr>
                <w:sz w:val="20"/>
                <w:szCs w:val="20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A929E7" w:rsidRPr="00A929E7" w:rsidRDefault="00A929E7" w:rsidP="00D91321">
            <w:pPr>
              <w:ind w:right="284"/>
              <w:jc w:val="right"/>
              <w:rPr>
                <w:sz w:val="20"/>
                <w:szCs w:val="20"/>
              </w:rPr>
            </w:pPr>
            <w:r w:rsidRPr="00A929E7">
              <w:rPr>
                <w:sz w:val="20"/>
                <w:szCs w:val="20"/>
              </w:rPr>
              <w:t>12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II</w:t>
            </w:r>
            <w:r w:rsidRPr="00A929E7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A929E7" w:rsidRPr="00A929E7" w:rsidRDefault="00A929E7" w:rsidP="00B16A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A929E7" w:rsidRPr="00A929E7" w:rsidRDefault="00A929E7" w:rsidP="00A929E7">
            <w:pPr>
              <w:jc w:val="center"/>
              <w:rPr>
                <w:sz w:val="20"/>
                <w:szCs w:val="20"/>
              </w:rPr>
            </w:pPr>
            <w:r w:rsidRPr="00A929E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241BF4" w:rsidRPr="00766339" w:rsidRDefault="00241BF4" w:rsidP="00B16A73">
      <w:pPr>
        <w:widowControl/>
        <w:suppressAutoHyphens w:val="0"/>
        <w:rPr>
          <w:rFonts w:eastAsiaTheme="minorHAnsi" w:cs="Times New Roman"/>
          <w:color w:val="00B050"/>
          <w:kern w:val="0"/>
          <w:szCs w:val="28"/>
          <w:lang w:eastAsia="en-US" w:bidi="ar-SA"/>
        </w:rPr>
      </w:pPr>
    </w:p>
    <w:sectPr w:rsidR="00241BF4" w:rsidRPr="00766339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0D4760"/>
    <w:rsid w:val="00143B51"/>
    <w:rsid w:val="001B3A64"/>
    <w:rsid w:val="00241AE0"/>
    <w:rsid w:val="00241BF4"/>
    <w:rsid w:val="002476CA"/>
    <w:rsid w:val="00262836"/>
    <w:rsid w:val="002A0E6B"/>
    <w:rsid w:val="002A3549"/>
    <w:rsid w:val="002D471A"/>
    <w:rsid w:val="003D6B7B"/>
    <w:rsid w:val="00427033"/>
    <w:rsid w:val="004E35EE"/>
    <w:rsid w:val="004F32E9"/>
    <w:rsid w:val="0053324E"/>
    <w:rsid w:val="005C1D52"/>
    <w:rsid w:val="006630E9"/>
    <w:rsid w:val="00665092"/>
    <w:rsid w:val="00667035"/>
    <w:rsid w:val="00672BBF"/>
    <w:rsid w:val="006C2028"/>
    <w:rsid w:val="006E395C"/>
    <w:rsid w:val="00700698"/>
    <w:rsid w:val="007376DD"/>
    <w:rsid w:val="00766339"/>
    <w:rsid w:val="00776A5C"/>
    <w:rsid w:val="007D6370"/>
    <w:rsid w:val="007E2A38"/>
    <w:rsid w:val="007E2F70"/>
    <w:rsid w:val="008172A6"/>
    <w:rsid w:val="0085091F"/>
    <w:rsid w:val="008D22E4"/>
    <w:rsid w:val="00987513"/>
    <w:rsid w:val="009A1B34"/>
    <w:rsid w:val="00A21676"/>
    <w:rsid w:val="00A929E7"/>
    <w:rsid w:val="00AB79CE"/>
    <w:rsid w:val="00AF0F24"/>
    <w:rsid w:val="00B16A73"/>
    <w:rsid w:val="00BB559D"/>
    <w:rsid w:val="00C60846"/>
    <w:rsid w:val="00C86861"/>
    <w:rsid w:val="00D03EE9"/>
    <w:rsid w:val="00D320E8"/>
    <w:rsid w:val="00D35510"/>
    <w:rsid w:val="00D838AF"/>
    <w:rsid w:val="00D91321"/>
    <w:rsid w:val="00DB436A"/>
    <w:rsid w:val="00E448BB"/>
    <w:rsid w:val="00E56CFB"/>
    <w:rsid w:val="00E57613"/>
    <w:rsid w:val="00F065B7"/>
    <w:rsid w:val="00F6581F"/>
    <w:rsid w:val="00FA1718"/>
    <w:rsid w:val="00FF229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D96E-6287-4987-A476-6AC1557E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21</cp:revision>
  <cp:lastPrinted>2021-03-04T08:34:00Z</cp:lastPrinted>
  <dcterms:created xsi:type="dcterms:W3CDTF">2019-03-13T05:44:00Z</dcterms:created>
  <dcterms:modified xsi:type="dcterms:W3CDTF">2022-02-28T08:45:00Z</dcterms:modified>
</cp:coreProperties>
</file>