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4C" w:rsidRDefault="00F47B4C" w:rsidP="00F47B4C">
      <w:pPr>
        <w:tabs>
          <w:tab w:val="left" w:pos="993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Рейтинг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главных распорядителей средств бюджета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муниципального образования Сланцевское городское поселение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Сланцевский муниципальный район Ленинградской области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по ре</w:t>
      </w:r>
      <w:r>
        <w:rPr>
          <w:rFonts w:cs="Times New Roman"/>
          <w:sz w:val="28"/>
          <w:szCs w:val="28"/>
        </w:rPr>
        <w:t>зультатам оценки качества финансового менеджмента ГРБС</w:t>
      </w:r>
      <w:r>
        <w:rPr>
          <w:rFonts w:cs="Times New Roman"/>
          <w:sz w:val="28"/>
          <w:szCs w:val="28"/>
        </w:rPr>
        <w:br/>
        <w:t>за 2020 год</w:t>
      </w:r>
    </w:p>
    <w:p w:rsidR="00F065B7" w:rsidRPr="00F47B4C" w:rsidRDefault="00F065B7" w:rsidP="00F065B7">
      <w:pPr>
        <w:tabs>
          <w:tab w:val="left" w:pos="993"/>
        </w:tabs>
        <w:jc w:val="both"/>
        <w:rPr>
          <w:rFonts w:cs="Times New Roman"/>
          <w:sz w:val="18"/>
          <w:szCs w:val="20"/>
        </w:rPr>
      </w:pPr>
    </w:p>
    <w:tbl>
      <w:tblPr>
        <w:tblpPr w:leftFromText="180" w:rightFromText="180" w:vertAnchor="text" w:horzAnchor="margin" w:tblpY="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1188"/>
        <w:gridCol w:w="1188"/>
        <w:gridCol w:w="1188"/>
        <w:gridCol w:w="1125"/>
        <w:gridCol w:w="1125"/>
        <w:gridCol w:w="1125"/>
        <w:gridCol w:w="1105"/>
      </w:tblGrid>
      <w:tr w:rsidR="005347A9" w:rsidRPr="005347A9" w:rsidTr="00630472">
        <w:tc>
          <w:tcPr>
            <w:tcW w:w="1140" w:type="pct"/>
            <w:vMerge w:val="restart"/>
            <w:shd w:val="clear" w:color="auto" w:fill="auto"/>
            <w:vAlign w:val="center"/>
          </w:tcPr>
          <w:p w:rsidR="00F065B7" w:rsidRPr="005347A9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5347A9">
              <w:rPr>
                <w:rFonts w:cs="Times New Roman"/>
                <w:sz w:val="22"/>
                <w:szCs w:val="28"/>
              </w:rPr>
              <w:t>Наименование ГРБС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5347A9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5347A9">
              <w:rPr>
                <w:rFonts w:cs="Times New Roman"/>
                <w:sz w:val="22"/>
                <w:szCs w:val="28"/>
              </w:rPr>
              <w:t>Степень качества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5347A9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5347A9">
              <w:rPr>
                <w:rFonts w:cs="Times New Roman"/>
                <w:sz w:val="22"/>
                <w:szCs w:val="28"/>
              </w:rPr>
              <w:t>Место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5347A9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5347A9">
              <w:rPr>
                <w:rFonts w:cs="Times New Roman"/>
                <w:sz w:val="22"/>
                <w:szCs w:val="28"/>
              </w:rPr>
              <w:t>Итоговая оценка</w:t>
            </w:r>
          </w:p>
        </w:tc>
        <w:tc>
          <w:tcPr>
            <w:tcW w:w="2150" w:type="pct"/>
            <w:gridSpan w:val="4"/>
            <w:shd w:val="clear" w:color="auto" w:fill="auto"/>
            <w:vAlign w:val="center"/>
          </w:tcPr>
          <w:p w:rsidR="00F065B7" w:rsidRPr="005347A9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5347A9">
              <w:rPr>
                <w:rFonts w:cs="Times New Roman"/>
                <w:sz w:val="22"/>
                <w:szCs w:val="28"/>
              </w:rPr>
              <w:t>Оценка по группе показателей</w:t>
            </w:r>
          </w:p>
        </w:tc>
      </w:tr>
      <w:tr w:rsidR="005347A9" w:rsidRPr="005347A9" w:rsidTr="00BB559D">
        <w:trPr>
          <w:cantSplit/>
          <w:trHeight w:val="2974"/>
        </w:trPr>
        <w:tc>
          <w:tcPr>
            <w:tcW w:w="1140" w:type="pct"/>
            <w:vMerge/>
            <w:shd w:val="clear" w:color="auto" w:fill="auto"/>
            <w:vAlign w:val="center"/>
          </w:tcPr>
          <w:p w:rsidR="00F065B7" w:rsidRPr="005347A9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5347A9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5347A9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5347A9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5347A9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5347A9">
              <w:rPr>
                <w:rFonts w:cs="Times New Roman"/>
                <w:sz w:val="22"/>
                <w:szCs w:val="28"/>
              </w:rPr>
              <w:t>Качество планирования бюджета</w:t>
            </w: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5347A9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5347A9">
              <w:rPr>
                <w:rFonts w:cs="Times New Roman"/>
                <w:sz w:val="22"/>
                <w:szCs w:val="28"/>
              </w:rPr>
              <w:t>Качество исполнения бюджета</w:t>
            </w: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5347A9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5347A9">
              <w:rPr>
                <w:rFonts w:cs="Times New Roman"/>
                <w:sz w:val="22"/>
                <w:szCs w:val="28"/>
              </w:rPr>
              <w:t>Качество ведения учета и формирования отчетности</w:t>
            </w:r>
          </w:p>
        </w:tc>
        <w:tc>
          <w:tcPr>
            <w:tcW w:w="530" w:type="pct"/>
            <w:shd w:val="clear" w:color="auto" w:fill="auto"/>
            <w:textDirection w:val="btLr"/>
            <w:vAlign w:val="center"/>
          </w:tcPr>
          <w:p w:rsidR="00F065B7" w:rsidRPr="005347A9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5347A9">
              <w:rPr>
                <w:rFonts w:cs="Times New Roman"/>
                <w:sz w:val="22"/>
                <w:szCs w:val="28"/>
              </w:rPr>
              <w:t>Качество осуществления внутреннего финансового контроля и аудита</w:t>
            </w:r>
          </w:p>
        </w:tc>
      </w:tr>
      <w:tr w:rsidR="005347A9" w:rsidRPr="005347A9" w:rsidTr="00CF29AC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347A9" w:rsidRPr="005347A9" w:rsidRDefault="005347A9">
            <w:pPr>
              <w:rPr>
                <w:sz w:val="21"/>
                <w:szCs w:val="21"/>
              </w:rPr>
            </w:pPr>
            <w:r w:rsidRPr="005347A9">
              <w:rPr>
                <w:sz w:val="21"/>
                <w:szCs w:val="21"/>
              </w:rPr>
              <w:t>Совет депутатов Сланцевского городского поселения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5347A9" w:rsidRPr="005347A9" w:rsidRDefault="005347A9">
            <w:pPr>
              <w:jc w:val="center"/>
              <w:rPr>
                <w:sz w:val="21"/>
                <w:szCs w:val="21"/>
              </w:rPr>
            </w:pPr>
            <w:r w:rsidRPr="005347A9">
              <w:rPr>
                <w:sz w:val="21"/>
                <w:szCs w:val="21"/>
              </w:rPr>
              <w:t>I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5347A9" w:rsidRPr="005347A9" w:rsidRDefault="005347A9">
            <w:pPr>
              <w:jc w:val="center"/>
              <w:rPr>
                <w:sz w:val="21"/>
                <w:szCs w:val="21"/>
              </w:rPr>
            </w:pPr>
            <w:r w:rsidRPr="005347A9">
              <w:rPr>
                <w:sz w:val="21"/>
                <w:szCs w:val="21"/>
              </w:rPr>
              <w:t>1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5347A9" w:rsidRPr="005347A9" w:rsidRDefault="005347A9" w:rsidP="005347A9">
            <w:pPr>
              <w:jc w:val="center"/>
              <w:rPr>
                <w:sz w:val="21"/>
                <w:szCs w:val="21"/>
              </w:rPr>
            </w:pPr>
            <w:r w:rsidRPr="005347A9">
              <w:rPr>
                <w:sz w:val="21"/>
                <w:szCs w:val="21"/>
              </w:rPr>
              <w:t>23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5347A9" w:rsidRPr="005347A9" w:rsidRDefault="005347A9" w:rsidP="005347A9">
            <w:pPr>
              <w:jc w:val="center"/>
              <w:rPr>
                <w:sz w:val="21"/>
                <w:szCs w:val="21"/>
              </w:rPr>
            </w:pPr>
            <w:r w:rsidRPr="005347A9">
              <w:rPr>
                <w:sz w:val="21"/>
                <w:szCs w:val="21"/>
              </w:rPr>
              <w:t>7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5347A9" w:rsidRPr="005347A9" w:rsidRDefault="005347A9" w:rsidP="005347A9">
            <w:pPr>
              <w:jc w:val="center"/>
              <w:rPr>
                <w:sz w:val="21"/>
                <w:szCs w:val="21"/>
              </w:rPr>
            </w:pPr>
            <w:r w:rsidRPr="005347A9">
              <w:rPr>
                <w:sz w:val="21"/>
                <w:szCs w:val="21"/>
              </w:rPr>
              <w:t>10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5347A9" w:rsidRPr="005347A9" w:rsidRDefault="005347A9" w:rsidP="005347A9">
            <w:pPr>
              <w:jc w:val="center"/>
              <w:rPr>
                <w:sz w:val="21"/>
                <w:szCs w:val="21"/>
              </w:rPr>
            </w:pPr>
            <w:r w:rsidRPr="005347A9">
              <w:rPr>
                <w:sz w:val="21"/>
                <w:szCs w:val="21"/>
              </w:rPr>
              <w:t>2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5347A9" w:rsidRPr="005347A9" w:rsidRDefault="005347A9" w:rsidP="005347A9">
            <w:pPr>
              <w:jc w:val="center"/>
              <w:rPr>
                <w:sz w:val="21"/>
                <w:szCs w:val="21"/>
              </w:rPr>
            </w:pPr>
            <w:r w:rsidRPr="005347A9">
              <w:rPr>
                <w:sz w:val="21"/>
                <w:szCs w:val="21"/>
              </w:rPr>
              <w:t>4</w:t>
            </w:r>
          </w:p>
        </w:tc>
      </w:tr>
      <w:tr w:rsidR="005347A9" w:rsidRPr="005347A9" w:rsidTr="00CF29AC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347A9" w:rsidRPr="005347A9" w:rsidRDefault="005347A9" w:rsidP="005347A9">
            <w:pPr>
              <w:rPr>
                <w:sz w:val="21"/>
                <w:szCs w:val="21"/>
              </w:rPr>
            </w:pPr>
            <w:r w:rsidRPr="005347A9">
              <w:rPr>
                <w:sz w:val="21"/>
                <w:szCs w:val="21"/>
              </w:rPr>
              <w:t>КУМИ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5347A9" w:rsidRPr="005347A9" w:rsidRDefault="005347A9">
            <w:pPr>
              <w:jc w:val="center"/>
              <w:rPr>
                <w:sz w:val="21"/>
                <w:szCs w:val="21"/>
              </w:rPr>
            </w:pPr>
            <w:r w:rsidRPr="005347A9">
              <w:rPr>
                <w:sz w:val="21"/>
                <w:szCs w:val="21"/>
              </w:rPr>
              <w:t>II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5347A9" w:rsidRPr="005347A9" w:rsidRDefault="005347A9">
            <w:pPr>
              <w:jc w:val="center"/>
              <w:rPr>
                <w:sz w:val="21"/>
                <w:szCs w:val="21"/>
              </w:rPr>
            </w:pPr>
            <w:r w:rsidRPr="005347A9">
              <w:rPr>
                <w:sz w:val="21"/>
                <w:szCs w:val="21"/>
              </w:rPr>
              <w:t>2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5347A9" w:rsidRPr="005347A9" w:rsidRDefault="005347A9" w:rsidP="005347A9">
            <w:pPr>
              <w:jc w:val="center"/>
              <w:rPr>
                <w:sz w:val="21"/>
                <w:szCs w:val="21"/>
              </w:rPr>
            </w:pPr>
            <w:r w:rsidRPr="005347A9">
              <w:rPr>
                <w:sz w:val="21"/>
                <w:szCs w:val="21"/>
              </w:rPr>
              <w:t>22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5347A9" w:rsidRPr="005347A9" w:rsidRDefault="005347A9" w:rsidP="005347A9">
            <w:pPr>
              <w:jc w:val="center"/>
              <w:rPr>
                <w:sz w:val="21"/>
                <w:szCs w:val="21"/>
              </w:rPr>
            </w:pPr>
            <w:r w:rsidRPr="005347A9">
              <w:rPr>
                <w:sz w:val="21"/>
                <w:szCs w:val="21"/>
              </w:rPr>
              <w:t>5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5347A9" w:rsidRPr="005347A9" w:rsidRDefault="005347A9" w:rsidP="005347A9">
            <w:pPr>
              <w:jc w:val="center"/>
              <w:rPr>
                <w:sz w:val="21"/>
                <w:szCs w:val="21"/>
              </w:rPr>
            </w:pPr>
            <w:r w:rsidRPr="005347A9">
              <w:rPr>
                <w:sz w:val="21"/>
                <w:szCs w:val="21"/>
              </w:rPr>
              <w:t>11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5347A9" w:rsidRPr="005347A9" w:rsidRDefault="005347A9" w:rsidP="005347A9">
            <w:pPr>
              <w:jc w:val="center"/>
              <w:rPr>
                <w:sz w:val="21"/>
                <w:szCs w:val="21"/>
              </w:rPr>
            </w:pPr>
            <w:r w:rsidRPr="005347A9">
              <w:rPr>
                <w:sz w:val="21"/>
                <w:szCs w:val="21"/>
              </w:rPr>
              <w:t>2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5347A9" w:rsidRPr="005347A9" w:rsidRDefault="005347A9" w:rsidP="005347A9">
            <w:pPr>
              <w:jc w:val="center"/>
              <w:rPr>
                <w:sz w:val="21"/>
                <w:szCs w:val="21"/>
              </w:rPr>
            </w:pPr>
            <w:r w:rsidRPr="005347A9">
              <w:rPr>
                <w:sz w:val="21"/>
                <w:szCs w:val="21"/>
              </w:rPr>
              <w:t>4</w:t>
            </w:r>
          </w:p>
        </w:tc>
      </w:tr>
      <w:tr w:rsidR="005347A9" w:rsidRPr="005347A9" w:rsidTr="00CF29AC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347A9" w:rsidRPr="005347A9" w:rsidRDefault="005347A9">
            <w:pPr>
              <w:rPr>
                <w:sz w:val="21"/>
                <w:szCs w:val="21"/>
              </w:rPr>
            </w:pPr>
            <w:r w:rsidRPr="005347A9">
              <w:rPr>
                <w:sz w:val="21"/>
                <w:szCs w:val="21"/>
              </w:rPr>
              <w:t>МКУК "</w:t>
            </w:r>
            <w:proofErr w:type="spellStart"/>
            <w:r w:rsidRPr="005347A9">
              <w:rPr>
                <w:sz w:val="21"/>
                <w:szCs w:val="21"/>
              </w:rPr>
              <w:t>ПКиО</w:t>
            </w:r>
            <w:proofErr w:type="spellEnd"/>
            <w:r w:rsidRPr="005347A9">
              <w:rPr>
                <w:sz w:val="21"/>
                <w:szCs w:val="21"/>
              </w:rPr>
              <w:t>"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5347A9" w:rsidRPr="005347A9" w:rsidRDefault="005347A9">
            <w:pPr>
              <w:jc w:val="center"/>
              <w:rPr>
                <w:sz w:val="21"/>
                <w:szCs w:val="21"/>
              </w:rPr>
            </w:pPr>
            <w:r w:rsidRPr="005347A9">
              <w:rPr>
                <w:sz w:val="21"/>
                <w:szCs w:val="21"/>
              </w:rPr>
              <w:t>II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5347A9" w:rsidRPr="005347A9" w:rsidRDefault="005347A9">
            <w:pPr>
              <w:jc w:val="center"/>
              <w:rPr>
                <w:sz w:val="21"/>
                <w:szCs w:val="21"/>
              </w:rPr>
            </w:pPr>
            <w:r w:rsidRPr="005347A9">
              <w:rPr>
                <w:sz w:val="21"/>
                <w:szCs w:val="21"/>
              </w:rPr>
              <w:t>3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5347A9" w:rsidRPr="005347A9" w:rsidRDefault="005347A9" w:rsidP="005347A9">
            <w:pPr>
              <w:jc w:val="center"/>
              <w:rPr>
                <w:sz w:val="21"/>
                <w:szCs w:val="21"/>
              </w:rPr>
            </w:pPr>
            <w:r w:rsidRPr="005347A9">
              <w:rPr>
                <w:sz w:val="21"/>
                <w:szCs w:val="21"/>
              </w:rPr>
              <w:t>21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5347A9" w:rsidRPr="005347A9" w:rsidRDefault="005347A9" w:rsidP="005347A9">
            <w:pPr>
              <w:jc w:val="center"/>
              <w:rPr>
                <w:sz w:val="21"/>
                <w:szCs w:val="21"/>
              </w:rPr>
            </w:pPr>
            <w:r w:rsidRPr="005347A9">
              <w:rPr>
                <w:sz w:val="21"/>
                <w:szCs w:val="21"/>
              </w:rPr>
              <w:t>3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5347A9" w:rsidRPr="005347A9" w:rsidRDefault="005347A9" w:rsidP="005347A9">
            <w:pPr>
              <w:jc w:val="center"/>
              <w:rPr>
                <w:sz w:val="21"/>
                <w:szCs w:val="21"/>
              </w:rPr>
            </w:pPr>
            <w:r w:rsidRPr="005347A9">
              <w:rPr>
                <w:sz w:val="21"/>
                <w:szCs w:val="21"/>
              </w:rPr>
              <w:t>11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5347A9" w:rsidRPr="005347A9" w:rsidRDefault="005347A9" w:rsidP="005347A9">
            <w:pPr>
              <w:jc w:val="center"/>
              <w:rPr>
                <w:sz w:val="21"/>
                <w:szCs w:val="21"/>
              </w:rPr>
            </w:pPr>
            <w:r w:rsidRPr="005347A9">
              <w:rPr>
                <w:sz w:val="21"/>
                <w:szCs w:val="21"/>
              </w:rPr>
              <w:t>3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5347A9" w:rsidRPr="005347A9" w:rsidRDefault="005347A9" w:rsidP="005347A9">
            <w:pPr>
              <w:jc w:val="center"/>
              <w:rPr>
                <w:sz w:val="21"/>
                <w:szCs w:val="21"/>
              </w:rPr>
            </w:pPr>
            <w:r w:rsidRPr="005347A9">
              <w:rPr>
                <w:sz w:val="21"/>
                <w:szCs w:val="21"/>
              </w:rPr>
              <w:t>4</w:t>
            </w:r>
          </w:p>
        </w:tc>
      </w:tr>
      <w:tr w:rsidR="005347A9" w:rsidRPr="005347A9" w:rsidTr="00CF29AC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347A9" w:rsidRPr="005347A9" w:rsidRDefault="005347A9" w:rsidP="005347A9">
            <w:pPr>
              <w:rPr>
                <w:sz w:val="21"/>
                <w:szCs w:val="21"/>
              </w:rPr>
            </w:pPr>
            <w:r w:rsidRPr="005347A9">
              <w:rPr>
                <w:sz w:val="21"/>
                <w:szCs w:val="21"/>
              </w:rPr>
              <w:t>МУК ГДК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5347A9" w:rsidRPr="005347A9" w:rsidRDefault="005347A9">
            <w:pPr>
              <w:jc w:val="center"/>
              <w:rPr>
                <w:sz w:val="21"/>
                <w:szCs w:val="21"/>
              </w:rPr>
            </w:pPr>
            <w:r w:rsidRPr="005347A9">
              <w:rPr>
                <w:sz w:val="21"/>
                <w:szCs w:val="21"/>
              </w:rPr>
              <w:t>II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5347A9" w:rsidRPr="005347A9" w:rsidRDefault="005347A9">
            <w:pPr>
              <w:jc w:val="center"/>
              <w:rPr>
                <w:sz w:val="21"/>
                <w:szCs w:val="21"/>
              </w:rPr>
            </w:pPr>
            <w:r w:rsidRPr="005347A9">
              <w:rPr>
                <w:sz w:val="21"/>
                <w:szCs w:val="21"/>
              </w:rPr>
              <w:t>3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5347A9" w:rsidRPr="005347A9" w:rsidRDefault="005347A9" w:rsidP="005347A9">
            <w:pPr>
              <w:jc w:val="center"/>
              <w:rPr>
                <w:sz w:val="21"/>
                <w:szCs w:val="21"/>
              </w:rPr>
            </w:pPr>
            <w:r w:rsidRPr="005347A9">
              <w:rPr>
                <w:sz w:val="21"/>
                <w:szCs w:val="21"/>
              </w:rPr>
              <w:t>21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5347A9" w:rsidRPr="005347A9" w:rsidRDefault="005347A9" w:rsidP="005347A9">
            <w:pPr>
              <w:jc w:val="center"/>
              <w:rPr>
                <w:sz w:val="21"/>
                <w:szCs w:val="21"/>
              </w:rPr>
            </w:pPr>
            <w:r w:rsidRPr="005347A9">
              <w:rPr>
                <w:sz w:val="21"/>
                <w:szCs w:val="21"/>
              </w:rPr>
              <w:t>2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5347A9" w:rsidRPr="005347A9" w:rsidRDefault="005347A9" w:rsidP="005347A9">
            <w:pPr>
              <w:jc w:val="center"/>
              <w:rPr>
                <w:sz w:val="21"/>
                <w:szCs w:val="21"/>
              </w:rPr>
            </w:pPr>
            <w:r w:rsidRPr="005347A9">
              <w:rPr>
                <w:sz w:val="21"/>
                <w:szCs w:val="21"/>
              </w:rPr>
              <w:t>12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5347A9" w:rsidRPr="005347A9" w:rsidRDefault="005347A9" w:rsidP="005347A9">
            <w:pPr>
              <w:jc w:val="center"/>
              <w:rPr>
                <w:sz w:val="21"/>
                <w:szCs w:val="21"/>
              </w:rPr>
            </w:pPr>
            <w:r w:rsidRPr="005347A9">
              <w:rPr>
                <w:sz w:val="21"/>
                <w:szCs w:val="21"/>
              </w:rPr>
              <w:t>3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5347A9" w:rsidRPr="005347A9" w:rsidRDefault="005347A9" w:rsidP="005347A9">
            <w:pPr>
              <w:jc w:val="center"/>
              <w:rPr>
                <w:sz w:val="21"/>
                <w:szCs w:val="21"/>
              </w:rPr>
            </w:pPr>
            <w:r w:rsidRPr="005347A9">
              <w:rPr>
                <w:sz w:val="21"/>
                <w:szCs w:val="21"/>
              </w:rPr>
              <w:t>4</w:t>
            </w:r>
          </w:p>
        </w:tc>
      </w:tr>
      <w:tr w:rsidR="005347A9" w:rsidRPr="005347A9" w:rsidTr="00CF29AC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347A9" w:rsidRPr="005347A9" w:rsidRDefault="005347A9" w:rsidP="005347A9">
            <w:pPr>
              <w:rPr>
                <w:sz w:val="21"/>
                <w:szCs w:val="21"/>
              </w:rPr>
            </w:pPr>
            <w:r w:rsidRPr="005347A9">
              <w:rPr>
                <w:sz w:val="21"/>
                <w:szCs w:val="21"/>
              </w:rPr>
              <w:t>Администрация Сланцевского муниципального района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5347A9" w:rsidRPr="005347A9" w:rsidRDefault="005347A9">
            <w:pPr>
              <w:jc w:val="center"/>
              <w:rPr>
                <w:sz w:val="21"/>
                <w:szCs w:val="21"/>
              </w:rPr>
            </w:pPr>
            <w:r w:rsidRPr="005347A9">
              <w:rPr>
                <w:sz w:val="21"/>
                <w:szCs w:val="21"/>
              </w:rPr>
              <w:t>II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5347A9" w:rsidRPr="005347A9" w:rsidRDefault="005347A9">
            <w:pPr>
              <w:jc w:val="center"/>
              <w:rPr>
                <w:sz w:val="21"/>
                <w:szCs w:val="21"/>
              </w:rPr>
            </w:pPr>
            <w:r w:rsidRPr="005347A9">
              <w:rPr>
                <w:sz w:val="21"/>
                <w:szCs w:val="21"/>
              </w:rPr>
              <w:t>4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5347A9" w:rsidRPr="005347A9" w:rsidRDefault="005347A9" w:rsidP="005347A9">
            <w:pPr>
              <w:jc w:val="center"/>
              <w:rPr>
                <w:sz w:val="21"/>
                <w:szCs w:val="21"/>
              </w:rPr>
            </w:pPr>
            <w:r w:rsidRPr="005347A9">
              <w:rPr>
                <w:sz w:val="21"/>
                <w:szCs w:val="21"/>
              </w:rPr>
              <w:t>18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5347A9" w:rsidRPr="005347A9" w:rsidRDefault="005347A9" w:rsidP="005347A9">
            <w:pPr>
              <w:jc w:val="center"/>
              <w:rPr>
                <w:sz w:val="21"/>
                <w:szCs w:val="21"/>
              </w:rPr>
            </w:pPr>
            <w:r w:rsidRPr="005347A9">
              <w:rPr>
                <w:sz w:val="21"/>
                <w:szCs w:val="21"/>
              </w:rPr>
              <w:t>5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5347A9" w:rsidRPr="005347A9" w:rsidRDefault="005347A9" w:rsidP="005347A9">
            <w:pPr>
              <w:jc w:val="center"/>
              <w:rPr>
                <w:sz w:val="21"/>
                <w:szCs w:val="21"/>
              </w:rPr>
            </w:pPr>
            <w:r w:rsidRPr="005347A9">
              <w:rPr>
                <w:sz w:val="21"/>
                <w:szCs w:val="21"/>
              </w:rPr>
              <w:t>9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5347A9" w:rsidRPr="005347A9" w:rsidRDefault="005347A9" w:rsidP="005347A9">
            <w:pPr>
              <w:jc w:val="center"/>
              <w:rPr>
                <w:sz w:val="21"/>
                <w:szCs w:val="21"/>
              </w:rPr>
            </w:pPr>
            <w:r w:rsidRPr="005347A9">
              <w:rPr>
                <w:sz w:val="21"/>
                <w:szCs w:val="21"/>
              </w:rPr>
              <w:t>3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5347A9" w:rsidRPr="005347A9" w:rsidRDefault="005347A9" w:rsidP="005347A9">
            <w:pPr>
              <w:jc w:val="center"/>
              <w:rPr>
                <w:sz w:val="21"/>
                <w:szCs w:val="21"/>
              </w:rPr>
            </w:pPr>
            <w:r w:rsidRPr="005347A9">
              <w:rPr>
                <w:sz w:val="21"/>
                <w:szCs w:val="21"/>
              </w:rPr>
              <w:t>1</w:t>
            </w:r>
          </w:p>
        </w:tc>
      </w:tr>
    </w:tbl>
    <w:p w:rsidR="005347A9" w:rsidRPr="005347A9" w:rsidRDefault="005347A9" w:rsidP="00D838AF">
      <w:pPr>
        <w:widowControl/>
        <w:suppressAutoHyphens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30472" w:rsidRPr="005347A9" w:rsidRDefault="00630472">
      <w:pPr>
        <w:widowControl/>
        <w:suppressAutoHyphens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br w:type="page"/>
      </w:r>
    </w:p>
    <w:p w:rsidR="00D838AF" w:rsidRPr="005347A9" w:rsidRDefault="00D838AF" w:rsidP="00D838AF">
      <w:pPr>
        <w:widowControl/>
        <w:suppressAutoHyphens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Пояснительная записка к резул</w:t>
      </w:r>
      <w:bookmarkStart w:id="0" w:name="_GoBack"/>
      <w:bookmarkEnd w:id="0"/>
      <w:r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ьтатам </w:t>
      </w:r>
      <w:proofErr w:type="gramStart"/>
      <w:r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>оценки качества финансового менеджмента</w:t>
      </w:r>
      <w:r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главных распорядителей средств бюджета муниципального образования</w:t>
      </w:r>
      <w:proofErr w:type="gramEnd"/>
      <w:r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630472"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Сланцевское городское поселение Сланцевского муниципального района </w:t>
      </w:r>
      <w:r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>Ленинградской области</w:t>
      </w:r>
      <w:r w:rsidR="00630472"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5347A9"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>за 2020</w:t>
      </w:r>
      <w:r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</w:t>
      </w:r>
    </w:p>
    <w:p w:rsidR="00D838AF" w:rsidRPr="005347A9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838AF" w:rsidRPr="005347A9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>В соответствии с Порядком проведения оценки качества финансового менеджмента главных распорядителей средств бюджета муниципального образования Сланцевский муниципальный район Ленинградской области и бюджета муниципального образования Сланцевское городское поселение Сланцевского муниципального района Ленинградской области, утвержденным постановлением администрации Сланцевского муниципальног</w:t>
      </w:r>
      <w:r w:rsidR="005347A9">
        <w:rPr>
          <w:rFonts w:eastAsiaTheme="minorHAnsi" w:cs="Times New Roman"/>
          <w:kern w:val="0"/>
          <w:sz w:val="28"/>
          <w:szCs w:val="28"/>
          <w:lang w:eastAsia="en-US" w:bidi="ar-SA"/>
        </w:rPr>
        <w:t>о района от 22.02.2019 № 207-п</w:t>
      </w:r>
      <w:r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проведена оценка качества финансового менеджмента главных распорядителей средств бюджета муниципального образования </w:t>
      </w:r>
      <w:r w:rsidR="00630472"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>Сланцевское городское поселение Сланцевского</w:t>
      </w:r>
      <w:r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муниципальн</w:t>
      </w:r>
      <w:r w:rsidR="00630472"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>ого</w:t>
      </w:r>
      <w:r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район</w:t>
      </w:r>
      <w:r w:rsidR="00630472"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>а</w:t>
      </w:r>
      <w:r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Ленинградской области</w:t>
      </w:r>
      <w:proofErr w:type="gramEnd"/>
      <w:r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(далее – ГРБС), по результатам </w:t>
      </w:r>
      <w:proofErr w:type="gramStart"/>
      <w:r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>которой</w:t>
      </w:r>
      <w:proofErr w:type="gramEnd"/>
      <w:r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составлен рейтинг ГРБС по качеству финансового менеджмента.</w:t>
      </w:r>
    </w:p>
    <w:p w:rsidR="00D838AF" w:rsidRPr="005347A9" w:rsidRDefault="00AF0F24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«Планирование бюджета»</w:t>
      </w:r>
      <w:r w:rsidR="006630E9"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«Своевременность представления в отчетном году ГРБС финансового-экономического обоснования для составления проекта решения о бюджете на очередной финансовый год и плановый период», «Доля изменений, внесенных в сводную бюджетную роспись (за исключением изменений, связанных с внесением изменений в решение о бюджете, поступлением и распределением межбюджетных трансфертов, безвозмездных поступлений от физических и</w:t>
      </w:r>
      <w:proofErr w:type="gramEnd"/>
      <w:r w:rsidR="006630E9"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юридических лиц, имеющих целевое назначение, распределением средств резервного фонда администрации)» и «Отклонение первоначального плана по расходам от уточненного плана (без учета расходов за счет межбюджетных трансфертов, безвозмездных поступлений от физических и юридических лиц, имеющих целевое назначение, средств резервного фонда администрации)». По направлению оценки «Планирование бюджета» </w:t>
      </w:r>
      <w:r w:rsidR="00427D0D"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>одному</w:t>
      </w:r>
      <w:r w:rsidR="006630E9"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</w:t>
      </w:r>
      <w:r w:rsidR="00120E8A"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(Совет депутатов Сланцевского городского поселения)</w:t>
      </w:r>
      <w:r w:rsidR="006630E9"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присвоено максимально возможно</w:t>
      </w:r>
      <w:r w:rsidR="005347A9"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>е</w:t>
      </w:r>
      <w:r w:rsidR="006630E9"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значени</w:t>
      </w:r>
      <w:r w:rsidR="005347A9"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>е</w:t>
      </w:r>
      <w:r w:rsidR="006630E9"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5347A9"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>7 баллов, остальным ГРБС присвоено от 2 до 5 баллов</w:t>
      </w:r>
      <w:r w:rsidR="006630E9"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AF0F24" w:rsidRPr="005347A9" w:rsidRDefault="00AF0F24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«Исполнение бюджета»</w:t>
      </w:r>
      <w:r w:rsidR="006630E9"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«Соотношение кассовых расходов и плановых объемов бюджетных ассигнований ГРБС в отчетном году», «Отношение просроченной кредиторской задолженности ГРБС к объему кассовых расходов ГРБС в отчетном году», «Изменение дебиторской задолженности ГРБС в отчетном периоде по сравнению с началом года» и «</w:t>
      </w:r>
      <w:r w:rsidR="00E56CFB"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>Доля возвращенных комитетом финансов заявок на оплату расходов ГРБС при осуществлении</w:t>
      </w:r>
      <w:proofErr w:type="gramEnd"/>
      <w:r w:rsidR="00E56CFB"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процедуры санкционирования расходов за счет средств бюджета</w:t>
      </w:r>
      <w:r w:rsidR="006630E9"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>».</w:t>
      </w:r>
      <w:r w:rsidR="00E56CFB"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5347A9"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>Из максимально возможного значения 13 баллов по</w:t>
      </w:r>
      <w:r w:rsidR="00E56CFB"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направлению оценки «Исполнение бюджета» </w:t>
      </w:r>
      <w:r w:rsidR="00427D0D"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>одному</w:t>
      </w:r>
      <w:r w:rsidR="00E56CFB"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</w:t>
      </w:r>
      <w:r w:rsidR="005347A9"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(МУК ГДК)</w:t>
      </w:r>
      <w:r w:rsidR="00E56CFB"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присвоено 12 баллов</w:t>
      </w:r>
      <w:r w:rsidR="005347A9"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>, остальным ГРБС присвоено от 9 до 11 баллов</w:t>
      </w:r>
      <w:r w:rsidR="00E56CFB"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6630E9" w:rsidRPr="005347A9" w:rsidRDefault="006630E9" w:rsidP="006630E9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«Ведение учета и формирование отчетности»</w:t>
      </w:r>
      <w:r w:rsidR="00E56CFB"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«Своевременность представления в отчетном году ГРБС бюджетной (бухгалтерской) отчетности», «Соблюдение ГРБС требований по составу годовой бюджетной отчетности» и «Наличие в годовой бюджетной отчетности ГРБС за отчетный год заполненной таблицы «Сведения о проведении инвентаризации». По направлению оценки «Ведение учета и формирование отчетности» </w:t>
      </w:r>
      <w:r w:rsidR="005347A9"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>тре</w:t>
      </w:r>
      <w:r w:rsidR="00CF29AC"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>м ГРБС присвоено максималь</w:t>
      </w:r>
      <w:r w:rsidR="005347A9"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>но возможное значение 3 балла, дву</w:t>
      </w:r>
      <w:r w:rsidR="00CF29AC"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>м</w:t>
      </w:r>
      <w:r w:rsidR="00E56CFB"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присвоено 2 балла</w:t>
      </w:r>
      <w:r w:rsidR="00CF29AC"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5347A9" w:rsidRPr="005347A9" w:rsidRDefault="005347A9" w:rsidP="005347A9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4F32E9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В части показателей направления оценки «Осуществление внутреннего финансового контроля и аудита» оценка произведена по показателям «Наличие в отчетном периоде случаев нарушений бюджетного законодательства, выявленных в ходе проведения контрольных мероприятий органом внутреннего муниципального финансового контроля или органом внутреннего финансового контроля» и «Проверка наличия правового акта ГРБС об организации внутреннего финансового аудита в ходе проведения контрольных мероприятий органом внутреннего муниципального финансового контроля</w:t>
      </w:r>
      <w:proofErr w:type="gramEnd"/>
      <w:r w:rsidRPr="004F32E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». По направлению оценки «Осуществление внутреннего финансового контроля и аудита»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одному</w:t>
      </w:r>
      <w:r w:rsidRPr="004F32E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 1 балл, </w:t>
      </w:r>
      <w:r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>остальным ГРБС присвоено максимально возможное значение 4 балла.</w:t>
      </w:r>
    </w:p>
    <w:p w:rsidR="00AF0F24" w:rsidRPr="00FB6C66" w:rsidRDefault="00AF0F24" w:rsidP="00AF0F24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>На основании итоговой оценки качества фин</w:t>
      </w:r>
      <w:r w:rsidR="005347A9"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>ансового менеджмента ГРБС за 2020 год одному ГРБС (Совет депутатов Сланцевского городского поселения)</w:t>
      </w:r>
      <w:r w:rsidRPr="005347A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5347A9" w:rsidRPr="00FB6C6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присвоена </w:t>
      </w:r>
      <w:r w:rsidR="005347A9" w:rsidRPr="00FB6C66"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I</w:t>
      </w:r>
      <w:r w:rsidR="005347A9" w:rsidRPr="00FB6C6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степень качества финансового менеджмента, четырем</w:t>
      </w:r>
      <w:r w:rsidRPr="00FB6C6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присвоена </w:t>
      </w:r>
      <w:r w:rsidRPr="00FB6C66"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II</w:t>
      </w:r>
      <w:r w:rsidRPr="00FB6C6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степень качества финансового менеджмента.</w:t>
      </w:r>
    </w:p>
    <w:p w:rsidR="00CF29AC" w:rsidRPr="00FB6C66" w:rsidRDefault="00CF29AC" w:rsidP="00CF29AC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C66">
        <w:rPr>
          <w:rFonts w:eastAsiaTheme="minorHAnsi" w:cs="Times New Roman"/>
          <w:kern w:val="0"/>
          <w:sz w:val="28"/>
          <w:szCs w:val="28"/>
          <w:lang w:eastAsia="en-US" w:bidi="ar-SA"/>
        </w:rPr>
        <w:t>В сравнении с результатами оценки качества фина</w:t>
      </w:r>
      <w:r w:rsidR="005347A9" w:rsidRPr="00FB6C66">
        <w:rPr>
          <w:rFonts w:eastAsiaTheme="minorHAnsi" w:cs="Times New Roman"/>
          <w:kern w:val="0"/>
          <w:sz w:val="28"/>
          <w:szCs w:val="28"/>
          <w:lang w:eastAsia="en-US" w:bidi="ar-SA"/>
        </w:rPr>
        <w:t>нсового менеджмента ГРБС за 2019</w:t>
      </w:r>
      <w:r w:rsidRPr="00FB6C6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 </w:t>
      </w:r>
      <w:r w:rsidR="008812D5" w:rsidRPr="00FB6C6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 </w:t>
      </w:r>
      <w:r w:rsidR="00FB6C66" w:rsidRPr="00FB6C66">
        <w:rPr>
          <w:rFonts w:eastAsiaTheme="minorHAnsi" w:cs="Times New Roman"/>
          <w:kern w:val="0"/>
          <w:sz w:val="28"/>
          <w:szCs w:val="28"/>
          <w:lang w:eastAsia="en-US" w:bidi="ar-SA"/>
        </w:rPr>
        <w:t>трем</w:t>
      </w:r>
      <w:r w:rsidRPr="00FB6C6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</w:t>
      </w:r>
      <w:r w:rsidR="008812D5" w:rsidRPr="00FB6C6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РБС значения были улучшены, по </w:t>
      </w:r>
      <w:r w:rsidR="00FB6C66" w:rsidRPr="00FB6C66">
        <w:rPr>
          <w:rFonts w:eastAsiaTheme="minorHAnsi" w:cs="Times New Roman"/>
          <w:kern w:val="0"/>
          <w:sz w:val="28"/>
          <w:szCs w:val="28"/>
          <w:lang w:eastAsia="en-US" w:bidi="ar-SA"/>
        </w:rPr>
        <w:t>дву</w:t>
      </w:r>
      <w:r w:rsidR="008812D5" w:rsidRPr="00FB6C66">
        <w:rPr>
          <w:rFonts w:eastAsiaTheme="minorHAnsi" w:cs="Times New Roman"/>
          <w:kern w:val="0"/>
          <w:sz w:val="28"/>
          <w:szCs w:val="28"/>
          <w:lang w:eastAsia="en-US" w:bidi="ar-SA"/>
        </w:rPr>
        <w:t>м</w:t>
      </w:r>
      <w:r w:rsidRPr="00FB6C6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ГРБС произошло снижение показателей: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3"/>
        <w:gridCol w:w="983"/>
        <w:gridCol w:w="983"/>
        <w:gridCol w:w="983"/>
        <w:gridCol w:w="983"/>
        <w:gridCol w:w="983"/>
        <w:gridCol w:w="983"/>
        <w:gridCol w:w="979"/>
      </w:tblGrid>
      <w:tr w:rsidR="00F47B4C" w:rsidRPr="00FB6C66" w:rsidTr="005347A9">
        <w:trPr>
          <w:trHeight w:val="360"/>
        </w:trPr>
        <w:tc>
          <w:tcPr>
            <w:tcW w:w="1684" w:type="pct"/>
            <w:vMerge w:val="restart"/>
            <w:shd w:val="clear" w:color="auto" w:fill="auto"/>
            <w:vAlign w:val="center"/>
          </w:tcPr>
          <w:p w:rsidR="00CF29AC" w:rsidRPr="00FB6C66" w:rsidRDefault="00CF29AC" w:rsidP="00CF29AC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FB6C66">
              <w:rPr>
                <w:rFonts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1422" w:type="pct"/>
            <w:gridSpan w:val="3"/>
            <w:shd w:val="clear" w:color="auto" w:fill="auto"/>
            <w:vAlign w:val="center"/>
          </w:tcPr>
          <w:p w:rsidR="00CF29AC" w:rsidRPr="00FB6C66" w:rsidRDefault="005347A9" w:rsidP="005347A9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FB6C66">
              <w:rPr>
                <w:rFonts w:cs="Times New Roman"/>
                <w:sz w:val="20"/>
                <w:szCs w:val="20"/>
              </w:rPr>
              <w:t>Оценка за 2020</w:t>
            </w:r>
            <w:r w:rsidR="00CF29AC" w:rsidRPr="00FB6C66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22" w:type="pct"/>
            <w:gridSpan w:val="3"/>
            <w:vAlign w:val="center"/>
          </w:tcPr>
          <w:p w:rsidR="00CF29AC" w:rsidRPr="00FB6C66" w:rsidRDefault="00CF29AC" w:rsidP="005347A9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FB6C66">
              <w:rPr>
                <w:rFonts w:cs="Times New Roman"/>
                <w:sz w:val="20"/>
                <w:szCs w:val="20"/>
              </w:rPr>
              <w:t>Оценка за 201</w:t>
            </w:r>
            <w:r w:rsidR="005347A9" w:rsidRPr="00FB6C66">
              <w:rPr>
                <w:rFonts w:cs="Times New Roman"/>
                <w:sz w:val="20"/>
                <w:szCs w:val="20"/>
              </w:rPr>
              <w:t>9</w:t>
            </w:r>
            <w:r w:rsidRPr="00FB6C66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72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F29AC" w:rsidRPr="00FB6C66" w:rsidRDefault="00CF29AC" w:rsidP="00CF29AC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FB6C66">
              <w:rPr>
                <w:rFonts w:cs="Times New Roman"/>
                <w:sz w:val="20"/>
                <w:szCs w:val="20"/>
              </w:rPr>
              <w:t>Измене</w:t>
            </w:r>
            <w:r w:rsidRPr="00FB6C66">
              <w:rPr>
                <w:rFonts w:cs="Times New Roman"/>
                <w:sz w:val="20"/>
                <w:szCs w:val="20"/>
              </w:rPr>
              <w:softHyphen/>
              <w:t>ние</w:t>
            </w:r>
            <w:r w:rsidR="005347A9" w:rsidRPr="00FB6C66">
              <w:rPr>
                <w:rFonts w:cs="Times New Roman"/>
                <w:sz w:val="20"/>
                <w:szCs w:val="20"/>
              </w:rPr>
              <w:t xml:space="preserve"> итоговой оценки</w:t>
            </w:r>
          </w:p>
        </w:tc>
      </w:tr>
      <w:tr w:rsidR="00F47B4C" w:rsidRPr="00FB6C66" w:rsidTr="00CF29AC">
        <w:trPr>
          <w:trHeight w:val="526"/>
        </w:trPr>
        <w:tc>
          <w:tcPr>
            <w:tcW w:w="1684" w:type="pct"/>
            <w:vMerge/>
            <w:vAlign w:val="center"/>
          </w:tcPr>
          <w:p w:rsidR="00CF29AC" w:rsidRPr="00FB6C66" w:rsidRDefault="00CF29AC" w:rsidP="00CF29A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74" w:type="pct"/>
            <w:vAlign w:val="center"/>
          </w:tcPr>
          <w:p w:rsidR="00CF29AC" w:rsidRPr="00FB6C66" w:rsidRDefault="00CF29AC" w:rsidP="00CF29AC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FB6C66">
              <w:rPr>
                <w:rFonts w:cs="Times New Roman"/>
                <w:sz w:val="20"/>
                <w:szCs w:val="20"/>
              </w:rPr>
              <w:t>Степень качества</w:t>
            </w:r>
          </w:p>
        </w:tc>
        <w:tc>
          <w:tcPr>
            <w:tcW w:w="474" w:type="pct"/>
            <w:vAlign w:val="center"/>
          </w:tcPr>
          <w:p w:rsidR="00CF29AC" w:rsidRPr="00FB6C66" w:rsidRDefault="00CF29AC" w:rsidP="00CF29AC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FB6C66">
              <w:rPr>
                <w:rFonts w:cs="Times New Roman"/>
                <w:sz w:val="20"/>
                <w:szCs w:val="20"/>
              </w:rPr>
              <w:t>Место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F29AC" w:rsidRPr="00FB6C66" w:rsidRDefault="00CF29AC" w:rsidP="00CF29AC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FB6C66">
              <w:rPr>
                <w:rFonts w:cs="Times New Roman"/>
                <w:sz w:val="20"/>
                <w:szCs w:val="20"/>
              </w:rPr>
              <w:t>Итоговая оценка</w:t>
            </w:r>
          </w:p>
        </w:tc>
        <w:tc>
          <w:tcPr>
            <w:tcW w:w="474" w:type="pct"/>
            <w:vAlign w:val="center"/>
          </w:tcPr>
          <w:p w:rsidR="00CF29AC" w:rsidRPr="00FB6C66" w:rsidRDefault="00CF29AC" w:rsidP="00CF29AC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FB6C66">
              <w:rPr>
                <w:rFonts w:cs="Times New Roman"/>
                <w:sz w:val="20"/>
                <w:szCs w:val="20"/>
              </w:rPr>
              <w:t>Степень качества</w:t>
            </w:r>
          </w:p>
        </w:tc>
        <w:tc>
          <w:tcPr>
            <w:tcW w:w="474" w:type="pct"/>
            <w:vAlign w:val="center"/>
          </w:tcPr>
          <w:p w:rsidR="00CF29AC" w:rsidRPr="00FB6C66" w:rsidRDefault="00CF29AC" w:rsidP="00CF29AC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FB6C66">
              <w:rPr>
                <w:rFonts w:cs="Times New Roman"/>
                <w:sz w:val="20"/>
                <w:szCs w:val="20"/>
              </w:rPr>
              <w:t>Место</w:t>
            </w:r>
          </w:p>
        </w:tc>
        <w:tc>
          <w:tcPr>
            <w:tcW w:w="474" w:type="pct"/>
            <w:vAlign w:val="center"/>
          </w:tcPr>
          <w:p w:rsidR="00CF29AC" w:rsidRPr="00FB6C66" w:rsidRDefault="00CF29AC" w:rsidP="00CF29AC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FB6C66">
              <w:rPr>
                <w:rFonts w:cs="Times New Roman"/>
                <w:sz w:val="20"/>
                <w:szCs w:val="20"/>
              </w:rPr>
              <w:t>Итоговая оценка</w:t>
            </w:r>
          </w:p>
        </w:tc>
        <w:tc>
          <w:tcPr>
            <w:tcW w:w="472" w:type="pct"/>
            <w:vMerge/>
          </w:tcPr>
          <w:p w:rsidR="00CF29AC" w:rsidRPr="00FB6C66" w:rsidRDefault="00CF29AC" w:rsidP="00CF29AC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B6C66" w:rsidRPr="00FB6C66" w:rsidTr="00056787">
        <w:trPr>
          <w:trHeight w:val="259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B6C66" w:rsidRPr="00FB6C66" w:rsidRDefault="00FB6C66" w:rsidP="00056787">
            <w:pPr>
              <w:rPr>
                <w:sz w:val="20"/>
                <w:szCs w:val="20"/>
              </w:rPr>
            </w:pPr>
            <w:r w:rsidRPr="00FB6C66">
              <w:rPr>
                <w:sz w:val="20"/>
                <w:szCs w:val="20"/>
              </w:rPr>
              <w:t>Совет депутатов Сланцевского городского поселения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B6C66" w:rsidRPr="00FB6C66" w:rsidRDefault="00FB6C66">
            <w:pPr>
              <w:jc w:val="center"/>
              <w:rPr>
                <w:sz w:val="20"/>
                <w:szCs w:val="20"/>
              </w:rPr>
            </w:pPr>
            <w:r w:rsidRPr="00FB6C66">
              <w:rPr>
                <w:sz w:val="20"/>
                <w:szCs w:val="20"/>
              </w:rPr>
              <w:t>I</w:t>
            </w:r>
          </w:p>
        </w:tc>
        <w:tc>
          <w:tcPr>
            <w:tcW w:w="474" w:type="pct"/>
            <w:vAlign w:val="bottom"/>
          </w:tcPr>
          <w:p w:rsidR="00FB6C66" w:rsidRPr="00FB6C66" w:rsidRDefault="00FB6C66">
            <w:pPr>
              <w:jc w:val="center"/>
              <w:rPr>
                <w:sz w:val="20"/>
                <w:szCs w:val="20"/>
              </w:rPr>
            </w:pPr>
            <w:r w:rsidRPr="00FB6C66">
              <w:rPr>
                <w:sz w:val="20"/>
                <w:szCs w:val="20"/>
              </w:rPr>
              <w:t>1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B6C66" w:rsidRPr="00FB6C66" w:rsidRDefault="00FB6C66" w:rsidP="00FB6C66">
            <w:pPr>
              <w:jc w:val="center"/>
              <w:rPr>
                <w:sz w:val="20"/>
                <w:szCs w:val="20"/>
              </w:rPr>
            </w:pPr>
            <w:r w:rsidRPr="00FB6C66">
              <w:rPr>
                <w:sz w:val="20"/>
                <w:szCs w:val="20"/>
              </w:rPr>
              <w:t>23</w:t>
            </w:r>
          </w:p>
        </w:tc>
        <w:tc>
          <w:tcPr>
            <w:tcW w:w="474" w:type="pct"/>
            <w:vAlign w:val="bottom"/>
          </w:tcPr>
          <w:p w:rsidR="00FB6C66" w:rsidRPr="00FB6C66" w:rsidRDefault="00FB6C66" w:rsidP="00056787">
            <w:pPr>
              <w:jc w:val="center"/>
              <w:rPr>
                <w:sz w:val="20"/>
                <w:szCs w:val="20"/>
              </w:rPr>
            </w:pPr>
            <w:r w:rsidRPr="00FB6C66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FB6C66" w:rsidRPr="00FB6C66" w:rsidRDefault="00FB6C66" w:rsidP="00056787">
            <w:pPr>
              <w:jc w:val="center"/>
              <w:rPr>
                <w:sz w:val="20"/>
                <w:szCs w:val="20"/>
              </w:rPr>
            </w:pPr>
            <w:r w:rsidRPr="00FB6C66">
              <w:rPr>
                <w:sz w:val="20"/>
                <w:szCs w:val="20"/>
              </w:rPr>
              <w:t>3</w:t>
            </w:r>
          </w:p>
        </w:tc>
        <w:tc>
          <w:tcPr>
            <w:tcW w:w="474" w:type="pct"/>
            <w:vAlign w:val="bottom"/>
          </w:tcPr>
          <w:p w:rsidR="00FB6C66" w:rsidRPr="00FB6C66" w:rsidRDefault="00FB6C66" w:rsidP="00056787">
            <w:pPr>
              <w:jc w:val="center"/>
              <w:rPr>
                <w:sz w:val="20"/>
                <w:szCs w:val="20"/>
              </w:rPr>
            </w:pPr>
            <w:r w:rsidRPr="00FB6C66">
              <w:rPr>
                <w:sz w:val="20"/>
                <w:szCs w:val="20"/>
              </w:rPr>
              <w:t>19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B6C66" w:rsidRPr="00FB6C66" w:rsidRDefault="00FB6C66" w:rsidP="00056787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FB6C66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FB6C66" w:rsidRPr="00FB6C66" w:rsidTr="00056787">
        <w:trPr>
          <w:trHeight w:val="259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B6C66" w:rsidRPr="00FB6C66" w:rsidRDefault="00FB6C66" w:rsidP="00056787">
            <w:pPr>
              <w:rPr>
                <w:sz w:val="20"/>
                <w:szCs w:val="20"/>
              </w:rPr>
            </w:pPr>
            <w:r w:rsidRPr="00FB6C66">
              <w:rPr>
                <w:sz w:val="20"/>
                <w:szCs w:val="20"/>
              </w:rPr>
              <w:t>КУМИ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B6C66" w:rsidRPr="00FB6C66" w:rsidRDefault="00FB6C66" w:rsidP="00FB6C66">
            <w:pPr>
              <w:jc w:val="center"/>
              <w:rPr>
                <w:sz w:val="20"/>
                <w:szCs w:val="20"/>
              </w:rPr>
            </w:pPr>
            <w:r w:rsidRPr="00FB6C66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FB6C66" w:rsidRPr="00FB6C66" w:rsidRDefault="00FB6C66" w:rsidP="00FB6C66">
            <w:pPr>
              <w:jc w:val="center"/>
              <w:rPr>
                <w:sz w:val="20"/>
                <w:szCs w:val="20"/>
              </w:rPr>
            </w:pPr>
            <w:r w:rsidRPr="00FB6C66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B6C66" w:rsidRPr="00FB6C66" w:rsidRDefault="00FB6C66" w:rsidP="00FB6C66">
            <w:pPr>
              <w:jc w:val="center"/>
              <w:rPr>
                <w:sz w:val="20"/>
                <w:szCs w:val="20"/>
              </w:rPr>
            </w:pPr>
            <w:r w:rsidRPr="00FB6C66">
              <w:rPr>
                <w:sz w:val="20"/>
                <w:szCs w:val="20"/>
              </w:rPr>
              <w:t>22</w:t>
            </w:r>
          </w:p>
        </w:tc>
        <w:tc>
          <w:tcPr>
            <w:tcW w:w="474" w:type="pct"/>
            <w:vAlign w:val="bottom"/>
          </w:tcPr>
          <w:p w:rsidR="00FB6C66" w:rsidRPr="00FB6C66" w:rsidRDefault="00FB6C66" w:rsidP="00056787">
            <w:pPr>
              <w:jc w:val="center"/>
              <w:rPr>
                <w:sz w:val="20"/>
                <w:szCs w:val="20"/>
              </w:rPr>
            </w:pPr>
            <w:r w:rsidRPr="00FB6C66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FB6C66" w:rsidRPr="00FB6C66" w:rsidRDefault="00FB6C66" w:rsidP="00056787">
            <w:pPr>
              <w:jc w:val="center"/>
              <w:rPr>
                <w:sz w:val="20"/>
                <w:szCs w:val="20"/>
              </w:rPr>
            </w:pPr>
            <w:r w:rsidRPr="00FB6C66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vAlign w:val="bottom"/>
          </w:tcPr>
          <w:p w:rsidR="00FB6C66" w:rsidRPr="00FB6C66" w:rsidRDefault="00FB6C66" w:rsidP="00056787">
            <w:pPr>
              <w:jc w:val="center"/>
              <w:rPr>
                <w:sz w:val="20"/>
                <w:szCs w:val="20"/>
              </w:rPr>
            </w:pPr>
            <w:r w:rsidRPr="00FB6C66">
              <w:rPr>
                <w:sz w:val="20"/>
                <w:szCs w:val="20"/>
              </w:rPr>
              <w:t>20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B6C66" w:rsidRPr="00FB6C66" w:rsidRDefault="00FB6C66" w:rsidP="00056787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FB6C66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FB6C66" w:rsidRPr="00FB6C66" w:rsidTr="00056787">
        <w:trPr>
          <w:trHeight w:val="255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B6C66" w:rsidRPr="00FB6C66" w:rsidRDefault="00FB6C66" w:rsidP="00056787">
            <w:pPr>
              <w:rPr>
                <w:sz w:val="20"/>
                <w:szCs w:val="20"/>
              </w:rPr>
            </w:pPr>
            <w:r w:rsidRPr="00FB6C66">
              <w:rPr>
                <w:sz w:val="20"/>
                <w:szCs w:val="20"/>
              </w:rPr>
              <w:t>МКУК "</w:t>
            </w:r>
            <w:proofErr w:type="spellStart"/>
            <w:r w:rsidRPr="00FB6C66">
              <w:rPr>
                <w:sz w:val="20"/>
                <w:szCs w:val="20"/>
              </w:rPr>
              <w:t>ПКиО</w:t>
            </w:r>
            <w:proofErr w:type="spellEnd"/>
            <w:r w:rsidRPr="00FB6C66">
              <w:rPr>
                <w:sz w:val="20"/>
                <w:szCs w:val="20"/>
              </w:rPr>
              <w:t>"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B6C66" w:rsidRPr="00FB6C66" w:rsidRDefault="00FB6C66" w:rsidP="00FB6C66">
            <w:pPr>
              <w:jc w:val="center"/>
              <w:rPr>
                <w:sz w:val="20"/>
                <w:szCs w:val="20"/>
              </w:rPr>
            </w:pPr>
            <w:r w:rsidRPr="00FB6C66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FB6C66" w:rsidRPr="00FB6C66" w:rsidRDefault="00FB6C66" w:rsidP="00FB6C66">
            <w:pPr>
              <w:jc w:val="center"/>
              <w:rPr>
                <w:sz w:val="20"/>
                <w:szCs w:val="20"/>
              </w:rPr>
            </w:pPr>
            <w:r w:rsidRPr="00FB6C66">
              <w:rPr>
                <w:sz w:val="20"/>
                <w:szCs w:val="20"/>
              </w:rPr>
              <w:t>3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B6C66" w:rsidRPr="00FB6C66" w:rsidRDefault="00FB6C66" w:rsidP="00FB6C66">
            <w:pPr>
              <w:jc w:val="center"/>
              <w:rPr>
                <w:sz w:val="20"/>
                <w:szCs w:val="20"/>
              </w:rPr>
            </w:pPr>
            <w:r w:rsidRPr="00FB6C66">
              <w:rPr>
                <w:sz w:val="20"/>
                <w:szCs w:val="20"/>
              </w:rPr>
              <w:t>21</w:t>
            </w:r>
          </w:p>
        </w:tc>
        <w:tc>
          <w:tcPr>
            <w:tcW w:w="474" w:type="pct"/>
            <w:vAlign w:val="bottom"/>
          </w:tcPr>
          <w:p w:rsidR="00FB6C66" w:rsidRPr="00FB6C66" w:rsidRDefault="00FB6C66" w:rsidP="00056787">
            <w:pPr>
              <w:jc w:val="center"/>
              <w:rPr>
                <w:sz w:val="20"/>
                <w:szCs w:val="20"/>
              </w:rPr>
            </w:pPr>
            <w:r w:rsidRPr="00FB6C66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FB6C66" w:rsidRPr="00FB6C66" w:rsidRDefault="00FB6C66" w:rsidP="00056787">
            <w:pPr>
              <w:jc w:val="center"/>
              <w:rPr>
                <w:sz w:val="20"/>
                <w:szCs w:val="20"/>
              </w:rPr>
            </w:pPr>
            <w:r w:rsidRPr="00FB6C66">
              <w:rPr>
                <w:sz w:val="20"/>
                <w:szCs w:val="20"/>
              </w:rPr>
              <w:t>3</w:t>
            </w:r>
          </w:p>
        </w:tc>
        <w:tc>
          <w:tcPr>
            <w:tcW w:w="474" w:type="pct"/>
            <w:vAlign w:val="bottom"/>
          </w:tcPr>
          <w:p w:rsidR="00FB6C66" w:rsidRPr="00FB6C66" w:rsidRDefault="00FB6C66" w:rsidP="00056787">
            <w:pPr>
              <w:jc w:val="center"/>
              <w:rPr>
                <w:sz w:val="20"/>
                <w:szCs w:val="20"/>
              </w:rPr>
            </w:pPr>
            <w:r w:rsidRPr="00FB6C66">
              <w:rPr>
                <w:sz w:val="20"/>
                <w:szCs w:val="20"/>
              </w:rPr>
              <w:t>19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B6C66" w:rsidRPr="00FB6C66" w:rsidRDefault="00FB6C66" w:rsidP="00056787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FB6C66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  <w:tr w:rsidR="00FB6C66" w:rsidRPr="00FB6C66" w:rsidTr="008812D5">
        <w:trPr>
          <w:trHeight w:val="284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B6C66" w:rsidRPr="00FB6C66" w:rsidRDefault="00FB6C66" w:rsidP="008812D5">
            <w:pPr>
              <w:rPr>
                <w:sz w:val="20"/>
                <w:szCs w:val="20"/>
              </w:rPr>
            </w:pPr>
            <w:r w:rsidRPr="00FB6C66">
              <w:rPr>
                <w:sz w:val="20"/>
                <w:szCs w:val="20"/>
              </w:rPr>
              <w:t>МУК ГДК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B6C66" w:rsidRPr="00FB6C66" w:rsidRDefault="00FB6C66" w:rsidP="00FB6C66">
            <w:pPr>
              <w:jc w:val="center"/>
              <w:rPr>
                <w:sz w:val="20"/>
                <w:szCs w:val="20"/>
              </w:rPr>
            </w:pPr>
            <w:r w:rsidRPr="00FB6C66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FB6C66" w:rsidRPr="00FB6C66" w:rsidRDefault="00FB6C66" w:rsidP="00FB6C66">
            <w:pPr>
              <w:jc w:val="center"/>
              <w:rPr>
                <w:sz w:val="20"/>
                <w:szCs w:val="20"/>
              </w:rPr>
            </w:pPr>
            <w:r w:rsidRPr="00FB6C66">
              <w:rPr>
                <w:sz w:val="20"/>
                <w:szCs w:val="20"/>
              </w:rPr>
              <w:t>3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B6C66" w:rsidRPr="00FB6C66" w:rsidRDefault="00FB6C66" w:rsidP="00FB6C66">
            <w:pPr>
              <w:jc w:val="center"/>
              <w:rPr>
                <w:sz w:val="20"/>
                <w:szCs w:val="20"/>
              </w:rPr>
            </w:pPr>
            <w:r w:rsidRPr="00FB6C66">
              <w:rPr>
                <w:sz w:val="20"/>
                <w:szCs w:val="20"/>
              </w:rPr>
              <w:t>21</w:t>
            </w:r>
          </w:p>
        </w:tc>
        <w:tc>
          <w:tcPr>
            <w:tcW w:w="474" w:type="pct"/>
            <w:vAlign w:val="bottom"/>
          </w:tcPr>
          <w:p w:rsidR="00FB6C66" w:rsidRPr="00FB6C66" w:rsidRDefault="00FB6C66" w:rsidP="005347A9">
            <w:pPr>
              <w:jc w:val="center"/>
              <w:rPr>
                <w:sz w:val="20"/>
                <w:szCs w:val="20"/>
              </w:rPr>
            </w:pPr>
            <w:r w:rsidRPr="00FB6C66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FB6C66" w:rsidRPr="00FB6C66" w:rsidRDefault="00FB6C66" w:rsidP="005347A9">
            <w:pPr>
              <w:jc w:val="center"/>
              <w:rPr>
                <w:sz w:val="20"/>
                <w:szCs w:val="20"/>
              </w:rPr>
            </w:pPr>
            <w:r w:rsidRPr="00FB6C66">
              <w:rPr>
                <w:sz w:val="20"/>
                <w:szCs w:val="20"/>
              </w:rPr>
              <w:t>1</w:t>
            </w:r>
          </w:p>
        </w:tc>
        <w:tc>
          <w:tcPr>
            <w:tcW w:w="474" w:type="pct"/>
            <w:vAlign w:val="bottom"/>
          </w:tcPr>
          <w:p w:rsidR="00FB6C66" w:rsidRPr="00FB6C66" w:rsidRDefault="00FB6C66" w:rsidP="005347A9">
            <w:pPr>
              <w:jc w:val="center"/>
              <w:rPr>
                <w:sz w:val="20"/>
                <w:szCs w:val="20"/>
              </w:rPr>
            </w:pPr>
            <w:r w:rsidRPr="00FB6C66">
              <w:rPr>
                <w:sz w:val="20"/>
                <w:szCs w:val="20"/>
              </w:rPr>
              <w:t>22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B6C66" w:rsidRPr="00FB6C66" w:rsidRDefault="00FB6C66" w:rsidP="00056787">
            <w:pPr>
              <w:jc w:val="center"/>
              <w:rPr>
                <w:sz w:val="20"/>
                <w:szCs w:val="20"/>
              </w:rPr>
            </w:pPr>
            <w:r w:rsidRPr="00FB6C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  <w:tr w:rsidR="00FB6C66" w:rsidRPr="00FB6C66" w:rsidTr="008812D5">
        <w:trPr>
          <w:trHeight w:val="259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B6C66" w:rsidRPr="00FB6C66" w:rsidRDefault="00FB6C66" w:rsidP="008812D5">
            <w:pPr>
              <w:rPr>
                <w:sz w:val="20"/>
                <w:szCs w:val="20"/>
              </w:rPr>
            </w:pPr>
            <w:r w:rsidRPr="00FB6C66">
              <w:rPr>
                <w:sz w:val="20"/>
                <w:szCs w:val="20"/>
              </w:rPr>
              <w:t>Администрация Сланцевского муниципального района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B6C66" w:rsidRPr="00FB6C66" w:rsidRDefault="00FB6C66" w:rsidP="00FB6C66">
            <w:pPr>
              <w:jc w:val="center"/>
              <w:rPr>
                <w:sz w:val="20"/>
                <w:szCs w:val="20"/>
              </w:rPr>
            </w:pPr>
            <w:r w:rsidRPr="00FB6C66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FB6C66" w:rsidRPr="00FB6C66" w:rsidRDefault="00FB6C66" w:rsidP="00FB6C66">
            <w:pPr>
              <w:jc w:val="center"/>
              <w:rPr>
                <w:sz w:val="20"/>
                <w:szCs w:val="20"/>
              </w:rPr>
            </w:pPr>
            <w:r w:rsidRPr="00FB6C66">
              <w:rPr>
                <w:sz w:val="20"/>
                <w:szCs w:val="20"/>
              </w:rPr>
              <w:t>4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FB6C66" w:rsidRPr="00FB6C66" w:rsidRDefault="00FB6C66" w:rsidP="00FB6C66">
            <w:pPr>
              <w:jc w:val="center"/>
              <w:rPr>
                <w:sz w:val="20"/>
                <w:szCs w:val="20"/>
              </w:rPr>
            </w:pPr>
            <w:r w:rsidRPr="00FB6C66">
              <w:rPr>
                <w:sz w:val="20"/>
                <w:szCs w:val="20"/>
              </w:rPr>
              <w:t>18</w:t>
            </w:r>
          </w:p>
        </w:tc>
        <w:tc>
          <w:tcPr>
            <w:tcW w:w="474" w:type="pct"/>
            <w:vAlign w:val="bottom"/>
          </w:tcPr>
          <w:p w:rsidR="00FB6C66" w:rsidRPr="00FB6C66" w:rsidRDefault="00FB6C66" w:rsidP="005347A9">
            <w:pPr>
              <w:jc w:val="center"/>
              <w:rPr>
                <w:sz w:val="20"/>
                <w:szCs w:val="20"/>
              </w:rPr>
            </w:pPr>
            <w:r w:rsidRPr="00FB6C66">
              <w:rPr>
                <w:sz w:val="20"/>
                <w:szCs w:val="20"/>
              </w:rPr>
              <w:t>II</w:t>
            </w:r>
          </w:p>
        </w:tc>
        <w:tc>
          <w:tcPr>
            <w:tcW w:w="474" w:type="pct"/>
            <w:vAlign w:val="bottom"/>
          </w:tcPr>
          <w:p w:rsidR="00FB6C66" w:rsidRPr="00FB6C66" w:rsidRDefault="00FB6C66" w:rsidP="005347A9">
            <w:pPr>
              <w:jc w:val="center"/>
              <w:rPr>
                <w:sz w:val="20"/>
                <w:szCs w:val="20"/>
              </w:rPr>
            </w:pPr>
            <w:r w:rsidRPr="00FB6C66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vAlign w:val="bottom"/>
          </w:tcPr>
          <w:p w:rsidR="00FB6C66" w:rsidRPr="00FB6C66" w:rsidRDefault="00FB6C66" w:rsidP="005347A9">
            <w:pPr>
              <w:jc w:val="center"/>
              <w:rPr>
                <w:sz w:val="20"/>
                <w:szCs w:val="20"/>
              </w:rPr>
            </w:pPr>
            <w:r w:rsidRPr="00FB6C66">
              <w:rPr>
                <w:sz w:val="20"/>
                <w:szCs w:val="20"/>
              </w:rPr>
              <w:t>20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FB6C66" w:rsidRPr="00FB6C66" w:rsidRDefault="00FB6C66" w:rsidP="005347A9">
            <w:pPr>
              <w:jc w:val="center"/>
              <w:rPr>
                <w:sz w:val="20"/>
                <w:szCs w:val="20"/>
              </w:rPr>
            </w:pPr>
            <w:r w:rsidRPr="00FB6C6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</w:tbl>
    <w:p w:rsidR="00F065B7" w:rsidRPr="00FB6C66" w:rsidRDefault="00F065B7" w:rsidP="00FB6C66">
      <w:pPr>
        <w:tabs>
          <w:tab w:val="left" w:pos="993"/>
        </w:tabs>
        <w:ind w:firstLine="709"/>
        <w:jc w:val="both"/>
      </w:pPr>
    </w:p>
    <w:sectPr w:rsidR="00F065B7" w:rsidRPr="00FB6C66" w:rsidSect="00BB559D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B7"/>
    <w:rsid w:val="00120E8A"/>
    <w:rsid w:val="00145973"/>
    <w:rsid w:val="001B3A64"/>
    <w:rsid w:val="00370A60"/>
    <w:rsid w:val="00427D0D"/>
    <w:rsid w:val="005347A9"/>
    <w:rsid w:val="00630472"/>
    <w:rsid w:val="006630E9"/>
    <w:rsid w:val="006C2028"/>
    <w:rsid w:val="007C6683"/>
    <w:rsid w:val="008812D5"/>
    <w:rsid w:val="008D2215"/>
    <w:rsid w:val="00A21676"/>
    <w:rsid w:val="00A827EC"/>
    <w:rsid w:val="00AF0F24"/>
    <w:rsid w:val="00BB559D"/>
    <w:rsid w:val="00BE659D"/>
    <w:rsid w:val="00CF29AC"/>
    <w:rsid w:val="00D320E8"/>
    <w:rsid w:val="00D838AF"/>
    <w:rsid w:val="00E56CFB"/>
    <w:rsid w:val="00E606B9"/>
    <w:rsid w:val="00E97604"/>
    <w:rsid w:val="00EA6197"/>
    <w:rsid w:val="00F065B7"/>
    <w:rsid w:val="00F47B4C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B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B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Бакашова Екатерина В.</dc:creator>
  <cp:lastModifiedBy>Бакашова Екатерина В.</cp:lastModifiedBy>
  <cp:revision>13</cp:revision>
  <cp:lastPrinted>2021-03-03T07:23:00Z</cp:lastPrinted>
  <dcterms:created xsi:type="dcterms:W3CDTF">2019-03-13T05:44:00Z</dcterms:created>
  <dcterms:modified xsi:type="dcterms:W3CDTF">2021-03-03T07:23:00Z</dcterms:modified>
</cp:coreProperties>
</file>