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B7" w:rsidRPr="00427D0D" w:rsidRDefault="00F065B7" w:rsidP="00D838AF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630472">
        <w:rPr>
          <w:rFonts w:cs="Times New Roman"/>
          <w:sz w:val="28"/>
          <w:szCs w:val="28"/>
        </w:rPr>
        <w:t xml:space="preserve">Результаты </w:t>
      </w:r>
      <w:proofErr w:type="gramStart"/>
      <w:r w:rsidRPr="00630472">
        <w:rPr>
          <w:rFonts w:cs="Times New Roman"/>
          <w:sz w:val="28"/>
          <w:szCs w:val="28"/>
        </w:rPr>
        <w:t>оценки к</w:t>
      </w:r>
      <w:r w:rsidR="00D838AF" w:rsidRPr="00630472">
        <w:rPr>
          <w:rFonts w:cs="Times New Roman"/>
          <w:sz w:val="28"/>
          <w:szCs w:val="28"/>
        </w:rPr>
        <w:t>ачества фин</w:t>
      </w:r>
      <w:bookmarkStart w:id="0" w:name="_GoBack"/>
      <w:r w:rsidR="00D838AF" w:rsidRPr="00427D0D">
        <w:rPr>
          <w:rFonts w:cs="Times New Roman"/>
          <w:sz w:val="28"/>
          <w:szCs w:val="28"/>
        </w:rPr>
        <w:t>ансового менеджмента</w:t>
      </w:r>
      <w:r w:rsidR="00D838AF" w:rsidRPr="00427D0D">
        <w:rPr>
          <w:rFonts w:cs="Times New Roman"/>
          <w:sz w:val="28"/>
          <w:szCs w:val="28"/>
        </w:rPr>
        <w:br/>
      </w:r>
      <w:r w:rsidR="00D838AF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 муниципального образования</w:t>
      </w:r>
      <w:proofErr w:type="gramEnd"/>
      <w:r w:rsidR="00D838AF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Сланцевск</w:t>
      </w:r>
      <w:r w:rsidR="00630472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ое городское поселение Сланцевского </w:t>
      </w:r>
      <w:r w:rsidR="00D838AF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муниципальн</w:t>
      </w:r>
      <w:r w:rsidR="00630472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ого</w:t>
      </w:r>
      <w:r w:rsidR="00D838AF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район</w:t>
      </w:r>
      <w:r w:rsidR="00630472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="00D838AF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Ленинградской области</w:t>
      </w:r>
      <w:r w:rsidRPr="00427D0D">
        <w:rPr>
          <w:rFonts w:cs="Times New Roman"/>
          <w:sz w:val="28"/>
          <w:szCs w:val="28"/>
        </w:rPr>
        <w:t xml:space="preserve"> за 2018 год</w:t>
      </w:r>
    </w:p>
    <w:p w:rsidR="00F065B7" w:rsidRPr="00427D0D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188"/>
        <w:gridCol w:w="1188"/>
        <w:gridCol w:w="1188"/>
        <w:gridCol w:w="1125"/>
        <w:gridCol w:w="1125"/>
        <w:gridCol w:w="1125"/>
        <w:gridCol w:w="1105"/>
      </w:tblGrid>
      <w:tr w:rsidR="00630472" w:rsidRPr="00427D0D" w:rsidTr="00630472">
        <w:tc>
          <w:tcPr>
            <w:tcW w:w="1140" w:type="pct"/>
            <w:vMerge w:val="restart"/>
            <w:shd w:val="clear" w:color="auto" w:fill="auto"/>
            <w:vAlign w:val="center"/>
          </w:tcPr>
          <w:p w:rsidR="00F065B7" w:rsidRPr="00427D0D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427D0D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427D0D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427D0D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427D0D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427D0D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427D0D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427D0D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2150" w:type="pct"/>
            <w:gridSpan w:val="4"/>
            <w:shd w:val="clear" w:color="auto" w:fill="auto"/>
            <w:vAlign w:val="center"/>
          </w:tcPr>
          <w:p w:rsidR="00F065B7" w:rsidRPr="00427D0D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427D0D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630472" w:rsidRPr="00427D0D" w:rsidTr="00BB559D">
        <w:trPr>
          <w:cantSplit/>
          <w:trHeight w:val="2974"/>
        </w:trPr>
        <w:tc>
          <w:tcPr>
            <w:tcW w:w="1140" w:type="pct"/>
            <w:vMerge/>
            <w:shd w:val="clear" w:color="auto" w:fill="auto"/>
            <w:vAlign w:val="center"/>
          </w:tcPr>
          <w:p w:rsidR="00F065B7" w:rsidRPr="00427D0D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427D0D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427D0D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427D0D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427D0D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427D0D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427D0D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427D0D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427D0D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427D0D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530" w:type="pct"/>
            <w:shd w:val="clear" w:color="auto" w:fill="auto"/>
            <w:textDirection w:val="btLr"/>
            <w:vAlign w:val="center"/>
          </w:tcPr>
          <w:p w:rsidR="00F065B7" w:rsidRPr="00427D0D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427D0D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630472" w:rsidRPr="00427D0D" w:rsidTr="00630472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30472" w:rsidRPr="00427D0D" w:rsidRDefault="00630472" w:rsidP="00630472">
            <w:pPr>
              <w:rPr>
                <w:sz w:val="21"/>
                <w:szCs w:val="21"/>
              </w:rPr>
            </w:pPr>
            <w:r w:rsidRPr="00427D0D">
              <w:rPr>
                <w:sz w:val="21"/>
                <w:szCs w:val="21"/>
              </w:rPr>
              <w:t>Совет депутатов Сланцевского городского поселения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630472" w:rsidRPr="00427D0D" w:rsidRDefault="00630472" w:rsidP="00630472">
            <w:pPr>
              <w:jc w:val="center"/>
              <w:rPr>
                <w:sz w:val="21"/>
                <w:szCs w:val="21"/>
              </w:rPr>
            </w:pPr>
            <w:r w:rsidRPr="00427D0D">
              <w:rPr>
                <w:sz w:val="21"/>
                <w:szCs w:val="21"/>
              </w:rPr>
              <w:t>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630472" w:rsidRPr="00427D0D" w:rsidRDefault="00630472" w:rsidP="00630472">
            <w:pPr>
              <w:jc w:val="center"/>
              <w:rPr>
                <w:sz w:val="21"/>
                <w:szCs w:val="21"/>
              </w:rPr>
            </w:pPr>
            <w:r w:rsidRPr="00427D0D">
              <w:rPr>
                <w:sz w:val="21"/>
                <w:szCs w:val="21"/>
              </w:rPr>
              <w:t>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630472" w:rsidRPr="00427D0D" w:rsidRDefault="00630472" w:rsidP="00630472">
            <w:pPr>
              <w:jc w:val="center"/>
              <w:rPr>
                <w:sz w:val="21"/>
                <w:szCs w:val="21"/>
              </w:rPr>
            </w:pPr>
            <w:r w:rsidRPr="00427D0D">
              <w:rPr>
                <w:sz w:val="21"/>
                <w:szCs w:val="21"/>
              </w:rPr>
              <w:t>25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30472" w:rsidRPr="00427D0D" w:rsidRDefault="00630472" w:rsidP="00630472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427D0D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30472" w:rsidRPr="00427D0D" w:rsidRDefault="00630472" w:rsidP="00630472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427D0D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30472" w:rsidRPr="00427D0D" w:rsidRDefault="00630472" w:rsidP="00630472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427D0D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30472" w:rsidRPr="00427D0D" w:rsidRDefault="00630472" w:rsidP="00630472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427D0D"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630472" w:rsidRPr="00427D0D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427D0D" w:rsidRDefault="00BB559D" w:rsidP="00BB559D">
            <w:pPr>
              <w:rPr>
                <w:sz w:val="21"/>
                <w:szCs w:val="21"/>
              </w:rPr>
            </w:pPr>
            <w:r w:rsidRPr="00427D0D">
              <w:rPr>
                <w:sz w:val="21"/>
                <w:szCs w:val="21"/>
              </w:rPr>
              <w:t>КУМИ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427D0D" w:rsidRDefault="00BB559D" w:rsidP="00BB559D">
            <w:pPr>
              <w:jc w:val="center"/>
              <w:rPr>
                <w:sz w:val="21"/>
                <w:szCs w:val="21"/>
              </w:rPr>
            </w:pPr>
            <w:r w:rsidRPr="00427D0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427D0D" w:rsidRDefault="00630472" w:rsidP="00630472">
            <w:pPr>
              <w:jc w:val="center"/>
              <w:rPr>
                <w:sz w:val="21"/>
                <w:szCs w:val="21"/>
              </w:rPr>
            </w:pPr>
            <w:r w:rsidRPr="00427D0D">
              <w:rPr>
                <w:sz w:val="21"/>
                <w:szCs w:val="21"/>
              </w:rPr>
              <w:t>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427D0D" w:rsidRDefault="00630472" w:rsidP="00BB559D">
            <w:pPr>
              <w:jc w:val="center"/>
              <w:rPr>
                <w:sz w:val="21"/>
                <w:szCs w:val="21"/>
              </w:rPr>
            </w:pPr>
            <w:r w:rsidRPr="00427D0D">
              <w:rPr>
                <w:sz w:val="21"/>
                <w:szCs w:val="21"/>
              </w:rPr>
              <w:t>22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427D0D" w:rsidRDefault="00630472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427D0D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427D0D" w:rsidRDefault="00630472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427D0D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427D0D" w:rsidRDefault="00630472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427D0D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427D0D" w:rsidRDefault="00630472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427D0D"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630472" w:rsidRPr="00427D0D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559D" w:rsidRPr="00427D0D" w:rsidRDefault="00BB559D" w:rsidP="00BB559D">
            <w:pPr>
              <w:rPr>
                <w:sz w:val="21"/>
                <w:szCs w:val="21"/>
              </w:rPr>
            </w:pPr>
            <w:r w:rsidRPr="00427D0D">
              <w:rPr>
                <w:sz w:val="21"/>
                <w:szCs w:val="21"/>
              </w:rPr>
              <w:t>Администрация Сланцевского муниципального района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427D0D" w:rsidRDefault="00BB559D" w:rsidP="00BB559D">
            <w:pPr>
              <w:jc w:val="center"/>
              <w:rPr>
                <w:sz w:val="21"/>
                <w:szCs w:val="21"/>
              </w:rPr>
            </w:pPr>
            <w:r w:rsidRPr="00427D0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427D0D" w:rsidRDefault="00630472" w:rsidP="00BB559D">
            <w:pPr>
              <w:jc w:val="center"/>
              <w:rPr>
                <w:sz w:val="21"/>
                <w:szCs w:val="21"/>
              </w:rPr>
            </w:pPr>
            <w:r w:rsidRPr="00427D0D">
              <w:rPr>
                <w:sz w:val="21"/>
                <w:szCs w:val="21"/>
              </w:rPr>
              <w:t>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B559D" w:rsidRPr="00427D0D" w:rsidRDefault="00630472" w:rsidP="00BB559D">
            <w:pPr>
              <w:jc w:val="center"/>
              <w:rPr>
                <w:sz w:val="21"/>
                <w:szCs w:val="21"/>
              </w:rPr>
            </w:pPr>
            <w:r w:rsidRPr="00427D0D">
              <w:rPr>
                <w:sz w:val="21"/>
                <w:szCs w:val="21"/>
              </w:rPr>
              <w:t>21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427D0D" w:rsidRDefault="00630472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427D0D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427D0D" w:rsidRDefault="00630472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427D0D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B559D" w:rsidRPr="00427D0D" w:rsidRDefault="00630472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427D0D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B559D" w:rsidRPr="00427D0D" w:rsidRDefault="00630472" w:rsidP="00BB559D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427D0D"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630472" w:rsidRPr="00427D0D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30472" w:rsidRPr="00427D0D" w:rsidRDefault="00630472" w:rsidP="00630472">
            <w:pPr>
              <w:rPr>
                <w:sz w:val="20"/>
                <w:szCs w:val="20"/>
              </w:rPr>
            </w:pPr>
            <w:r w:rsidRPr="00427D0D">
              <w:rPr>
                <w:sz w:val="20"/>
                <w:szCs w:val="20"/>
              </w:rPr>
              <w:t>МУК ГДК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630472" w:rsidRPr="00427D0D" w:rsidRDefault="00630472" w:rsidP="00630472">
            <w:pPr>
              <w:jc w:val="center"/>
              <w:rPr>
                <w:sz w:val="21"/>
                <w:szCs w:val="21"/>
              </w:rPr>
            </w:pPr>
            <w:r w:rsidRPr="00427D0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630472" w:rsidRPr="00427D0D" w:rsidRDefault="00630472" w:rsidP="00630472">
            <w:pPr>
              <w:jc w:val="center"/>
              <w:rPr>
                <w:sz w:val="21"/>
                <w:szCs w:val="21"/>
              </w:rPr>
            </w:pPr>
            <w:r w:rsidRPr="00427D0D">
              <w:rPr>
                <w:sz w:val="21"/>
                <w:szCs w:val="21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630472" w:rsidRPr="00427D0D" w:rsidRDefault="00630472" w:rsidP="00630472">
            <w:pPr>
              <w:jc w:val="center"/>
              <w:rPr>
                <w:sz w:val="21"/>
                <w:szCs w:val="21"/>
              </w:rPr>
            </w:pPr>
            <w:r w:rsidRPr="00427D0D">
              <w:rPr>
                <w:sz w:val="21"/>
                <w:szCs w:val="21"/>
              </w:rPr>
              <w:t>20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30472" w:rsidRPr="00427D0D" w:rsidRDefault="00630472" w:rsidP="00630472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427D0D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30472" w:rsidRPr="00427D0D" w:rsidRDefault="00630472" w:rsidP="00630472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427D0D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30472" w:rsidRPr="00427D0D" w:rsidRDefault="00630472" w:rsidP="00630472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427D0D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30472" w:rsidRPr="00427D0D" w:rsidRDefault="00630472" w:rsidP="00630472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427D0D"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630472" w:rsidRPr="00427D0D" w:rsidTr="00BB559D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30472" w:rsidRPr="00427D0D" w:rsidRDefault="00630472" w:rsidP="00630472">
            <w:pPr>
              <w:rPr>
                <w:sz w:val="21"/>
                <w:szCs w:val="21"/>
              </w:rPr>
            </w:pPr>
            <w:r w:rsidRPr="00427D0D">
              <w:rPr>
                <w:sz w:val="21"/>
                <w:szCs w:val="21"/>
              </w:rPr>
              <w:t>МКУК "</w:t>
            </w:r>
            <w:proofErr w:type="spellStart"/>
            <w:r w:rsidRPr="00427D0D">
              <w:rPr>
                <w:sz w:val="21"/>
                <w:szCs w:val="21"/>
              </w:rPr>
              <w:t>ПКиО</w:t>
            </w:r>
            <w:proofErr w:type="spellEnd"/>
            <w:r w:rsidRPr="00427D0D">
              <w:rPr>
                <w:sz w:val="21"/>
                <w:szCs w:val="21"/>
              </w:rPr>
              <w:t>"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630472" w:rsidRPr="00427D0D" w:rsidRDefault="00630472" w:rsidP="00630472">
            <w:pPr>
              <w:jc w:val="center"/>
              <w:rPr>
                <w:sz w:val="21"/>
                <w:szCs w:val="21"/>
              </w:rPr>
            </w:pPr>
            <w:r w:rsidRPr="00427D0D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630472" w:rsidRPr="00427D0D" w:rsidRDefault="00630472" w:rsidP="00630472">
            <w:pPr>
              <w:jc w:val="center"/>
              <w:rPr>
                <w:sz w:val="21"/>
                <w:szCs w:val="21"/>
              </w:rPr>
            </w:pPr>
            <w:r w:rsidRPr="00427D0D">
              <w:rPr>
                <w:sz w:val="21"/>
                <w:szCs w:val="21"/>
              </w:rPr>
              <w:t>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630472" w:rsidRPr="00427D0D" w:rsidRDefault="00630472" w:rsidP="00630472">
            <w:pPr>
              <w:jc w:val="center"/>
              <w:rPr>
                <w:sz w:val="21"/>
                <w:szCs w:val="21"/>
              </w:rPr>
            </w:pPr>
            <w:r w:rsidRPr="00427D0D">
              <w:rPr>
                <w:sz w:val="21"/>
                <w:szCs w:val="21"/>
              </w:rPr>
              <w:t>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30472" w:rsidRPr="00427D0D" w:rsidRDefault="00630472" w:rsidP="00630472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427D0D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30472" w:rsidRPr="00427D0D" w:rsidRDefault="00630472" w:rsidP="00630472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427D0D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30472" w:rsidRPr="00427D0D" w:rsidRDefault="00630472" w:rsidP="00630472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427D0D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30472" w:rsidRPr="00427D0D" w:rsidRDefault="00630472" w:rsidP="00630472">
            <w:pPr>
              <w:tabs>
                <w:tab w:val="left" w:pos="993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427D0D">
              <w:rPr>
                <w:rFonts w:cs="Times New Roman"/>
                <w:sz w:val="21"/>
                <w:szCs w:val="21"/>
              </w:rPr>
              <w:t>4</w:t>
            </w:r>
          </w:p>
        </w:tc>
      </w:tr>
    </w:tbl>
    <w:p w:rsidR="00630472" w:rsidRPr="00427D0D" w:rsidRDefault="00630472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30472" w:rsidRPr="00427D0D" w:rsidRDefault="00630472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D838AF" w:rsidRPr="00427D0D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630472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Сланцевское городское поселение Сланцевского муниципального района </w:t>
      </w:r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Ленинградской области</w:t>
      </w:r>
      <w:r w:rsidR="00630472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за 2018 год</w:t>
      </w:r>
    </w:p>
    <w:p w:rsidR="00D838AF" w:rsidRPr="00427D0D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Pr="00427D0D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соответствии с Порядком проведения оценки качества финансового менеджмента главных распорядителей средств бюджета муниципального образования Сланцевский муниципальный район Ленинградской области и бюджета муниципального образования Сланцевское городское поселение Сланцевского муниципального района Ленинградской области, утвержденным постановлением администрации Сланцевского муниципального района от 22.02.2019 № 207-п (далее – Порядок), проведена оценка качества финансового менеджмента главных распорядителей средств бюджета муниципального образования </w:t>
      </w:r>
      <w:r w:rsidR="00630472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Сланцевское городское поселение Сланцевского</w:t>
      </w:r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муниципальн</w:t>
      </w:r>
      <w:r w:rsidR="00630472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ого</w:t>
      </w:r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район</w:t>
      </w:r>
      <w:r w:rsidR="00630472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proofErr w:type="gramEnd"/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Ленинградской области (далее – ГРБС), по результатам которой составлен рейтинг ГРБС по качеству финансового менеджмента.</w:t>
      </w:r>
    </w:p>
    <w:p w:rsidR="006C2028" w:rsidRPr="00427D0D" w:rsidRDefault="006C2028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Согласно пункту 3 Порядка оценка не производилась в отношении </w:t>
      </w:r>
      <w:r w:rsidR="00427D0D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муниципального казенного учреждения культуры «Сланцевская центральная городская библиотека», которое</w:t>
      </w:r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был</w:t>
      </w:r>
      <w:r w:rsidR="00427D0D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о</w:t>
      </w:r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реорганизован</w:t>
      </w:r>
      <w:r w:rsidR="00427D0D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о</w:t>
      </w:r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2018 году.</w:t>
      </w:r>
    </w:p>
    <w:p w:rsidR="00D838AF" w:rsidRPr="00427D0D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период», «Доля изменений, внесенных в сводную бюджетную роспись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</w:t>
      </w:r>
      <w:proofErr w:type="gramEnd"/>
      <w:r w:rsidR="006630E9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юридических лиц, имеющих целевое назначение, распределением средств резервного фонда администрации)» и «Отклонение первоначального плана по расходам от уточненного плана (без учета расходов за счет межбюджетных трансфертов, безвозмездных поступлений от физических и юридических лиц, имеющих целевое назначение, средств резервного фонда администрации)». По направлению оценки «Планирование бюджета» </w:t>
      </w:r>
      <w:r w:rsidR="00427D0D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одному</w:t>
      </w:r>
      <w:r w:rsidR="006630E9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6 баллов из максимально возможного значения 7 баллов.</w:t>
      </w:r>
    </w:p>
    <w:p w:rsidR="00AF0F24" w:rsidRPr="00427D0D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году», «Изменение дебиторской задолженности ГРБС в отчетном периоде по сравнению с началом года» и «</w:t>
      </w:r>
      <w:r w:rsidR="00E56CFB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Доля возвращенных комитетом финансов заявок на</w:t>
      </w:r>
      <w:proofErr w:type="gramEnd"/>
      <w:r w:rsidR="00E56CFB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оплату расходов ГРБС при осуществлении процедуры санкционирования расходов за счет средств бюджета</w:t>
      </w:r>
      <w:r w:rsidR="006630E9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E56CFB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направлению оценки «Исполнение бюджета» </w:t>
      </w:r>
      <w:r w:rsidR="00427D0D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одному</w:t>
      </w:r>
      <w:r w:rsidR="00E56CFB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12 баллов из максимально возможного значения 13 баллов.</w:t>
      </w:r>
    </w:p>
    <w:p w:rsidR="006630E9" w:rsidRPr="00427D0D" w:rsidRDefault="006630E9" w:rsidP="006630E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бюджетной (бухгалтерской) отчетности», «Соблюдение ГРБС требований по составу годовой бюджетной отчетности» и «Наличие в годовой бюджетной отчетности ГРБС за отчетный год заполненной таблицы «Сведения о проведении инвентаризации». По направлению оценки «Ведение учета и </w:t>
      </w:r>
      <w:r w:rsidR="00E56CFB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формирование отчетности» </w:t>
      </w:r>
      <w:r w:rsidR="00427D0D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одному</w:t>
      </w:r>
      <w:r w:rsidR="00E56CFB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2 балла, остальным ГРБС присвоено максимально возможное значение 3 балла.</w:t>
      </w:r>
    </w:p>
    <w:p w:rsidR="00D838AF" w:rsidRPr="00427D0D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«Осуществление внутреннего финансового контроля и аудита» всем ГРБС в соответствии с пунктом 7 Порядка присвоены максимальные значения показателей:</w:t>
      </w:r>
    </w:p>
    <w:p w:rsidR="00D838AF" w:rsidRPr="00427D0D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- по показателю «Соответствие документов внутреннего финансового контроля ГРБС (далее – ВФК) требованиям, закрепленным Порядком осуществления ВФК» присвоено по 3 балла – в связи с проведением работы по актуализации Порядка осуществления ВФК проверка документов ВФК ГРБС не проводится;</w:t>
      </w:r>
    </w:p>
    <w:p w:rsidR="00D838AF" w:rsidRPr="00427D0D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- по показателю «Своевременность представления ГРБС годовой отчетности о результатах внутреннего финансового аудита» присвоено по 1 баллу – в соответствии с Порядком составления годовой отчетности главными распорядителями (распорядителями) средств бюджетов Сланцевского муниципального района и Сланцевского городского поселения, главными администраторами (администраторами) доходов бюджетов Сланцевского муниципального района и Сланцевского городского поселения, главными администраторами (администраторами) источников финансового дефицита бюджетов Сланцевского муниципального района и Сланцевского городского</w:t>
      </w:r>
      <w:proofErr w:type="gramEnd"/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поселения, о результатах внутреннего финансового аудита, утвержденным приказом комитета финансов от 21.09.2018 № 38/1-од отчетность предоставляется, начиная с отчетности за 2019 год.</w:t>
      </w:r>
    </w:p>
    <w:p w:rsidR="00AF0F24" w:rsidRPr="00427D0D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 основании итоговой оценки качества финансового менеджмента ГРБС за 2018 год </w:t>
      </w:r>
      <w:r w:rsidR="00427D0D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одному</w:t>
      </w:r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присвоена </w:t>
      </w:r>
      <w:r w:rsidRPr="00427D0D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</w:t>
      </w:r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менеджмента, </w:t>
      </w:r>
      <w:r w:rsidR="00427D0D"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>четырём</w:t>
      </w:r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присвоена </w:t>
      </w:r>
      <w:r w:rsidRPr="00427D0D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</w:t>
      </w:r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менеджмента, </w:t>
      </w:r>
      <w:r w:rsidRPr="00427D0D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III</w:t>
      </w:r>
      <w:r w:rsidRPr="00427D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 не присвоена ни одному ГРБС.</w:t>
      </w:r>
    </w:p>
    <w:bookmarkEnd w:id="0"/>
    <w:p w:rsidR="00AF0F24" w:rsidRPr="00630472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color w:val="00B050"/>
          <w:kern w:val="0"/>
          <w:sz w:val="28"/>
          <w:szCs w:val="28"/>
          <w:lang w:eastAsia="en-US" w:bidi="ar-SA"/>
        </w:rPr>
      </w:pPr>
    </w:p>
    <w:p w:rsidR="00F065B7" w:rsidRPr="00630472" w:rsidRDefault="00F065B7" w:rsidP="00BB559D">
      <w:pPr>
        <w:tabs>
          <w:tab w:val="left" w:pos="993"/>
        </w:tabs>
        <w:ind w:firstLine="709"/>
        <w:jc w:val="both"/>
        <w:rPr>
          <w:color w:val="00B050"/>
        </w:rPr>
      </w:pPr>
    </w:p>
    <w:sectPr w:rsidR="00F065B7" w:rsidRPr="00630472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1B3A64"/>
    <w:rsid w:val="00427D0D"/>
    <w:rsid w:val="00630472"/>
    <w:rsid w:val="006630E9"/>
    <w:rsid w:val="006C2028"/>
    <w:rsid w:val="00A21676"/>
    <w:rsid w:val="00AF0F24"/>
    <w:rsid w:val="00BB559D"/>
    <w:rsid w:val="00D320E8"/>
    <w:rsid w:val="00D838AF"/>
    <w:rsid w:val="00E56CFB"/>
    <w:rsid w:val="00F0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2</cp:revision>
  <dcterms:created xsi:type="dcterms:W3CDTF">2019-03-13T05:44:00Z</dcterms:created>
  <dcterms:modified xsi:type="dcterms:W3CDTF">2019-03-13T07:29:00Z</dcterms:modified>
</cp:coreProperties>
</file>