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sz w:val="28"/>
          <w:szCs w:val="28"/>
        </w:rPr>
      </w:pPr>
      <w:r>
        <w:rPr>
          <w:rFonts w:cs="Times New Roman"/>
          <w:b/>
          <w:sz w:val="28"/>
          <w:szCs w:val="28"/>
        </w:rPr>
        <w:t xml:space="preserve">Отчет главы администрации </w:t>
      </w:r>
    </w:p>
    <w:p>
      <w:pPr>
        <w:pStyle w:val="Normal"/>
        <w:jc w:val="center"/>
        <w:rPr>
          <w:rFonts w:cs="Times New Roman"/>
          <w:b/>
          <w:b/>
          <w:sz w:val="28"/>
          <w:szCs w:val="28"/>
        </w:rPr>
      </w:pPr>
      <w:r>
        <w:rPr>
          <w:rFonts w:cs="Times New Roman"/>
          <w:b/>
          <w:sz w:val="28"/>
          <w:szCs w:val="28"/>
        </w:rPr>
        <w:t xml:space="preserve">Сланцевского муниципального района о результатах социально-экономического развития Сланцевского муниципального района </w:t>
      </w:r>
    </w:p>
    <w:p>
      <w:pPr>
        <w:pStyle w:val="Normal"/>
        <w:jc w:val="center"/>
        <w:rPr>
          <w:rFonts w:cs="Times New Roman"/>
          <w:b/>
          <w:b/>
          <w:sz w:val="28"/>
          <w:szCs w:val="28"/>
        </w:rPr>
      </w:pPr>
      <w:r>
        <w:rPr>
          <w:rFonts w:cs="Times New Roman"/>
          <w:b/>
          <w:sz w:val="28"/>
          <w:szCs w:val="28"/>
        </w:rPr>
        <w:t>в 2019 году и задачам на 2020 год</w:t>
      </w:r>
    </w:p>
    <w:p>
      <w:pPr>
        <w:pStyle w:val="Normal"/>
        <w:jc w:val="center"/>
        <w:rPr>
          <w:rFonts w:cs="Times New Roman"/>
          <w:color w:val="FF0000"/>
          <w:sz w:val="28"/>
          <w:szCs w:val="28"/>
        </w:rPr>
      </w:pPr>
      <w:r>
        <w:rPr>
          <w:rFonts w:cs="Times New Roman"/>
          <w:color w:val="FF0000"/>
          <w:sz w:val="28"/>
          <w:szCs w:val="28"/>
        </w:rPr>
      </w:r>
    </w:p>
    <w:p>
      <w:pPr>
        <w:pStyle w:val="Normal"/>
        <w:ind w:firstLine="800"/>
        <w:jc w:val="both"/>
        <w:rPr>
          <w:rFonts w:cs="Times New Roman"/>
          <w:sz w:val="28"/>
          <w:szCs w:val="28"/>
        </w:rPr>
      </w:pPr>
      <w:r>
        <w:rPr>
          <w:rFonts w:cs="Times New Roman"/>
          <w:sz w:val="28"/>
          <w:szCs w:val="28"/>
        </w:rPr>
        <w:t xml:space="preserve">Площадь Сланцевского муниципального района составляет 219,1 тыс. га. В состав района входят 1 городское и 6 сельских поселений. </w:t>
      </w:r>
    </w:p>
    <w:p>
      <w:pPr>
        <w:pStyle w:val="Normal"/>
        <w:ind w:firstLine="800"/>
        <w:jc w:val="both"/>
        <w:rPr>
          <w:rFonts w:cs="Times New Roman"/>
          <w:sz w:val="28"/>
          <w:szCs w:val="28"/>
        </w:rPr>
      </w:pPr>
      <w:r>
        <w:rPr>
          <w:rFonts w:cs="Times New Roman"/>
          <w:sz w:val="28"/>
          <w:szCs w:val="28"/>
        </w:rPr>
        <w:t>Район расположен на железнодорожной магистрали Санкт-Петербург – Сланцы. Автомобильным транспортом город связан с Санкт-Петербургом, Псковом, Лугой, Гдовом, Новгородом, Ивангородом.</w:t>
      </w:r>
    </w:p>
    <w:p>
      <w:pPr>
        <w:pStyle w:val="32"/>
        <w:ind w:firstLine="720"/>
        <w:rPr>
          <w:sz w:val="28"/>
          <w:szCs w:val="28"/>
        </w:rPr>
      </w:pPr>
      <w:r>
        <w:rPr>
          <w:sz w:val="28"/>
          <w:szCs w:val="28"/>
        </w:rPr>
        <w:t xml:space="preserve">Экономико-географическое положение района обуславливает перспективные направления развития поселения. С одной стороны, приграничное положение и близость к морскому порту Усть-Луга создают благоприятные предпосылки для развития экономии района, с другой - относительная транспортная изолированность значительно ограничивают возможности развития. </w:t>
      </w:r>
    </w:p>
    <w:p>
      <w:pPr>
        <w:pStyle w:val="Normal"/>
        <w:ind w:firstLine="708"/>
        <w:jc w:val="both"/>
        <w:rPr>
          <w:sz w:val="28"/>
          <w:szCs w:val="28"/>
        </w:rPr>
      </w:pPr>
      <w:r>
        <w:rPr>
          <w:sz w:val="28"/>
          <w:szCs w:val="28"/>
        </w:rPr>
        <w:t>Стратегическая цель развития Сланцевского муниципального района на долгосрочную перспективу – обеспечение устойчивого экономического роста и улучшение качества жизни населения.</w:t>
      </w:r>
    </w:p>
    <w:p>
      <w:pPr>
        <w:pStyle w:val="Normal"/>
        <w:ind w:firstLine="800"/>
        <w:jc w:val="both"/>
        <w:rPr>
          <w:sz w:val="28"/>
          <w:szCs w:val="28"/>
        </w:rPr>
      </w:pPr>
      <w:r>
        <w:rPr>
          <w:sz w:val="28"/>
          <w:szCs w:val="28"/>
        </w:rPr>
        <w:t>В целях обеспечения экономической, социальной и финансовой стабильности в районе проводилась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района с целью безусловного исполнения действующих расходных обязательств; повышение доступности и качества муниципальных услуг.</w:t>
      </w:r>
    </w:p>
    <w:p>
      <w:pPr>
        <w:pStyle w:val="Normal"/>
        <w:ind w:firstLine="708"/>
        <w:jc w:val="center"/>
        <w:rPr/>
      </w:pPr>
      <w:r>
        <w:rPr>
          <w:b/>
          <w:sz w:val="28"/>
          <w:szCs w:val="28"/>
        </w:rPr>
        <w:t>Демография</w:t>
      </w:r>
    </w:p>
    <w:p>
      <w:pPr>
        <w:pStyle w:val="Normal"/>
        <w:ind w:firstLine="708"/>
        <w:jc w:val="both"/>
        <w:rPr>
          <w:sz w:val="28"/>
          <w:szCs w:val="28"/>
        </w:rPr>
      </w:pPr>
      <w:r>
        <w:rPr>
          <w:sz w:val="28"/>
          <w:szCs w:val="28"/>
        </w:rPr>
        <w:t xml:space="preserve">Демографические показатели служат базой для всех социально-экономических исследований. Несмотря на довольно высокий уровень естественной убыли численность населения за последние годы относительно стабильна. </w:t>
      </w:r>
    </w:p>
    <w:p>
      <w:pPr>
        <w:pStyle w:val="Normal"/>
        <w:ind w:firstLine="708"/>
        <w:jc w:val="both"/>
        <w:rPr>
          <w:sz w:val="28"/>
          <w:szCs w:val="28"/>
        </w:rPr>
      </w:pPr>
      <w:r>
        <w:rPr>
          <w:sz w:val="28"/>
          <w:szCs w:val="28"/>
        </w:rPr>
        <w:t>Относительная стабильность численности населения при продолжающемся процессе естественной убыли населения, обеспечивается механическим приростом населения. Смертность превышает рождаемость в 2,7 раза. По итогам года зарегистрировано 289 родившихся и 783 – умерших.</w:t>
      </w:r>
    </w:p>
    <w:p>
      <w:pPr>
        <w:pStyle w:val="Normal"/>
        <w:ind w:firstLine="800"/>
        <w:jc w:val="both"/>
        <w:rPr>
          <w:rFonts w:cs="Times New Roman"/>
          <w:sz w:val="28"/>
          <w:szCs w:val="28"/>
        </w:rPr>
      </w:pPr>
      <w:r>
        <w:rPr>
          <w:rFonts w:cs="Times New Roman"/>
          <w:sz w:val="28"/>
          <w:szCs w:val="28"/>
        </w:rPr>
        <w:t>В ближайшей перспективе эта тенденция сохранится.</w:t>
      </w:r>
    </w:p>
    <w:p>
      <w:pPr>
        <w:pStyle w:val="Normal"/>
        <w:ind w:firstLine="800"/>
        <w:jc w:val="both"/>
        <w:rPr>
          <w:rFonts w:cs="Times New Roman"/>
          <w:sz w:val="28"/>
          <w:szCs w:val="28"/>
        </w:rPr>
      </w:pPr>
      <w:r>
        <w:rPr>
          <w:rFonts w:cs="Times New Roman"/>
          <w:sz w:val="28"/>
          <w:szCs w:val="28"/>
        </w:rPr>
        <w:t>Численность населения на 01.01.2019 составляет 42 494 человек.</w:t>
      </w:r>
    </w:p>
    <w:p>
      <w:pPr>
        <w:pStyle w:val="Normal"/>
        <w:ind w:firstLine="800"/>
        <w:jc w:val="both"/>
        <w:rPr/>
      </w:pPr>
      <w:r>
        <w:rPr>
          <w:sz w:val="28"/>
          <w:szCs w:val="28"/>
        </w:rPr>
        <w:t xml:space="preserve">Из общей численности населения мужчины составляют 45%, женщины 55 %. </w:t>
      </w:r>
    </w:p>
    <w:p>
      <w:pPr>
        <w:pStyle w:val="Normal"/>
        <w:jc w:val="center"/>
        <w:rPr>
          <w:rFonts w:cs="Times New Roman"/>
          <w:b/>
          <w:b/>
          <w:sz w:val="28"/>
          <w:szCs w:val="28"/>
        </w:rPr>
      </w:pPr>
      <w:r>
        <w:rPr>
          <w:rFonts w:cs="Times New Roman"/>
          <w:b/>
          <w:sz w:val="28"/>
          <w:szCs w:val="28"/>
        </w:rPr>
        <w:t>Бюджет</w:t>
      </w:r>
    </w:p>
    <w:p>
      <w:pPr>
        <w:pStyle w:val="Normal"/>
        <w:jc w:val="center"/>
        <w:rPr>
          <w:sz w:val="28"/>
          <w:szCs w:val="28"/>
          <w:u w:val="single"/>
        </w:rPr>
      </w:pPr>
      <w:r>
        <w:rPr>
          <w:sz w:val="28"/>
          <w:szCs w:val="28"/>
          <w:u w:val="single"/>
        </w:rPr>
        <w:t>1. Итоги исполнения консолидированного бюджета Сланцевского муниципального района.</w:t>
      </w:r>
    </w:p>
    <w:p>
      <w:pPr>
        <w:pStyle w:val="Normal"/>
        <w:ind w:firstLine="709"/>
        <w:jc w:val="both"/>
        <w:rPr>
          <w:sz w:val="28"/>
          <w:szCs w:val="28"/>
        </w:rPr>
      </w:pPr>
      <w:r>
        <w:rPr>
          <w:sz w:val="28"/>
          <w:szCs w:val="28"/>
        </w:rPr>
        <w:t xml:space="preserve">Консолидированный бюджет района исполнен </w:t>
      </w:r>
      <w:r>
        <w:rPr>
          <w:b/>
          <w:sz w:val="28"/>
          <w:szCs w:val="28"/>
        </w:rPr>
        <w:t>по доходам</w:t>
      </w:r>
      <w:r>
        <w:rPr>
          <w:sz w:val="28"/>
          <w:szCs w:val="28"/>
        </w:rPr>
        <w:t xml:space="preserve"> на 99 %. В местные бюджеты поступило 1 740 227 тысяч рублей. По сравнению с поступлениями предыдущего года произошло увеличение на 125 768 тысяч рублей, что связано с ростом объема налоговых и неналоговых доходов и безвозмездных поступлений в отчетном году.</w:t>
      </w:r>
    </w:p>
    <w:p>
      <w:pPr>
        <w:pStyle w:val="Normal"/>
        <w:ind w:firstLine="709"/>
        <w:jc w:val="both"/>
        <w:rPr>
          <w:sz w:val="28"/>
          <w:szCs w:val="28"/>
        </w:rPr>
      </w:pPr>
      <w:r>
        <w:rPr>
          <w:b/>
          <w:sz w:val="28"/>
          <w:szCs w:val="28"/>
        </w:rPr>
        <w:t>Налоговые и неналоговые</w:t>
      </w:r>
      <w:r>
        <w:rPr>
          <w:sz w:val="28"/>
          <w:szCs w:val="28"/>
        </w:rPr>
        <w:t xml:space="preserve"> доходы поступили в объеме 692 849 тысяч рублей. Годовой план по этим доходам перевыполнен на 23 389 тысяч рублей. По сравнению с 2018 годом рост налоговых и неналоговых доходов консолидированного бюджета составил 64 002 тысячи рублей за счет увеличения поступлений по НДФЛ, по налогу, взимаемому в связи с применением упрощенной системы налогообложения, по плате за негативное воздействие на окружающую среду, а также по арендной плате за земли и имущество.</w:t>
      </w:r>
    </w:p>
    <w:p>
      <w:pPr>
        <w:pStyle w:val="Normal"/>
        <w:ind w:firstLine="709"/>
        <w:jc w:val="both"/>
        <w:rPr>
          <w:sz w:val="28"/>
          <w:szCs w:val="28"/>
        </w:rPr>
      </w:pPr>
      <w:r>
        <w:rPr>
          <w:b/>
          <w:sz w:val="28"/>
          <w:szCs w:val="28"/>
        </w:rPr>
        <w:t>Безвозмездные поступления</w:t>
      </w:r>
      <w:r>
        <w:rPr>
          <w:sz w:val="28"/>
          <w:szCs w:val="28"/>
        </w:rPr>
        <w:t xml:space="preserve"> всех бюджетов муниципальных образований Сланцевского района в 2019 году составили 1 047 378 тысяч рублей, что на 61 766 тысяч рублей больше, чем в 2018 году. Увеличение произошло за счет роста объема субсидий, из которых 70 892 тысячи рублей были предоставлены в 2019 году на выполнение работ по реновации организаций общего образования.</w:t>
      </w:r>
    </w:p>
    <w:p>
      <w:pPr>
        <w:pStyle w:val="Normal"/>
        <w:ind w:firstLine="709"/>
        <w:jc w:val="both"/>
        <w:rPr>
          <w:sz w:val="28"/>
          <w:szCs w:val="28"/>
        </w:rPr>
      </w:pPr>
      <w:r>
        <w:rPr>
          <w:b/>
          <w:sz w:val="28"/>
          <w:szCs w:val="28"/>
        </w:rPr>
        <w:t>Расходы</w:t>
      </w:r>
      <w:r>
        <w:rPr>
          <w:sz w:val="28"/>
          <w:szCs w:val="28"/>
        </w:rPr>
        <w:t xml:space="preserve"> консолидированного бюджета района составили 1 703 042 тысячи рублей, или 95 % от плана. Большую долю занимают расходы в сфере образования (49 %). Вторая половина бюджета равномерно распределилась по отраслям культура, общегосударственные вопросы, жилищно-коммунальное хозяйство и национальная экономика, включая дорожное хозяйство.</w:t>
      </w:r>
    </w:p>
    <w:p>
      <w:pPr>
        <w:pStyle w:val="Normal"/>
        <w:jc w:val="center"/>
        <w:rPr/>
      </w:pPr>
      <w:r>
        <w:rPr>
          <w:sz w:val="28"/>
          <w:szCs w:val="28"/>
          <w:u w:val="single"/>
        </w:rPr>
        <w:t>2. Итоги исполнения бюджета Сланцевского муниципального района.</w:t>
      </w:r>
    </w:p>
    <w:p>
      <w:pPr>
        <w:pStyle w:val="Normal"/>
        <w:ind w:firstLine="709"/>
        <w:jc w:val="both"/>
        <w:rPr>
          <w:sz w:val="28"/>
          <w:szCs w:val="28"/>
        </w:rPr>
      </w:pPr>
      <w:r>
        <w:rPr>
          <w:sz w:val="28"/>
          <w:szCs w:val="28"/>
        </w:rPr>
        <w:t>Бюджет района исполнен по доходам в объеме 1 332 932 тысячи рублей и по расходам в объеме 1 315 809 тысяч рублей с профицитом 17 123 тысячи рублей.</w:t>
      </w:r>
    </w:p>
    <w:p>
      <w:pPr>
        <w:pStyle w:val="Normal"/>
        <w:ind w:firstLine="709"/>
        <w:jc w:val="both"/>
        <w:rPr>
          <w:sz w:val="28"/>
          <w:szCs w:val="28"/>
        </w:rPr>
      </w:pPr>
      <w:r>
        <w:rPr>
          <w:b/>
          <w:sz w:val="28"/>
          <w:szCs w:val="28"/>
        </w:rPr>
        <w:t>Доходы</w:t>
      </w:r>
      <w:r>
        <w:rPr>
          <w:sz w:val="28"/>
          <w:szCs w:val="28"/>
        </w:rPr>
        <w:t xml:space="preserve"> поступили на 30 929 тысяч рублей больше, чем в 2018 году, в основном в связи с ростом объема налоговых и неналоговых доходов.</w:t>
      </w:r>
    </w:p>
    <w:p>
      <w:pPr>
        <w:pStyle w:val="Normal"/>
        <w:ind w:firstLine="709"/>
        <w:jc w:val="both"/>
        <w:rPr>
          <w:sz w:val="28"/>
          <w:szCs w:val="28"/>
        </w:rPr>
      </w:pPr>
      <w:r>
        <w:rPr>
          <w:b/>
          <w:sz w:val="28"/>
          <w:szCs w:val="28"/>
        </w:rPr>
        <w:t>Налоговые и неналоговые</w:t>
      </w:r>
      <w:r>
        <w:rPr>
          <w:sz w:val="28"/>
          <w:szCs w:val="28"/>
        </w:rPr>
        <w:t xml:space="preserve"> доходы поступили в объеме 494 656 тысяч рублей. Эти доходы по сравнению с 2018 годом увеличились на 57 037 тысяч рублей в связи с ростом поступлений по НДФЛ, по налогу на совокупный доход, по плате за негативное воздействие на окружающую среду, а также по арендной плате за земли.</w:t>
      </w:r>
    </w:p>
    <w:p>
      <w:pPr>
        <w:pStyle w:val="Normal"/>
        <w:ind w:firstLine="709"/>
        <w:jc w:val="both"/>
        <w:rPr>
          <w:sz w:val="28"/>
          <w:szCs w:val="28"/>
        </w:rPr>
      </w:pPr>
      <w:r>
        <w:rPr>
          <w:sz w:val="28"/>
          <w:szCs w:val="28"/>
        </w:rPr>
        <w:t xml:space="preserve">При этом </w:t>
      </w:r>
      <w:r>
        <w:rPr>
          <w:b/>
          <w:sz w:val="28"/>
          <w:szCs w:val="28"/>
        </w:rPr>
        <w:t>налог на доходы физических лиц</w:t>
      </w:r>
      <w:r>
        <w:rPr>
          <w:sz w:val="28"/>
          <w:szCs w:val="28"/>
        </w:rPr>
        <w:t xml:space="preserve"> является основным налоговым доходом и поступил в объеме 273 970 тысяч рублей. Налог на совокупный доход поступил в сумме 101 288 тысяч рублей.</w:t>
      </w:r>
    </w:p>
    <w:p>
      <w:pPr>
        <w:pStyle w:val="Normal"/>
        <w:ind w:firstLine="709"/>
        <w:jc w:val="both"/>
        <w:rPr>
          <w:sz w:val="28"/>
          <w:szCs w:val="28"/>
        </w:rPr>
      </w:pPr>
      <w:r>
        <w:rPr>
          <w:b/>
          <w:sz w:val="28"/>
          <w:szCs w:val="28"/>
        </w:rPr>
        <w:t>Безвозмездные поступления</w:t>
      </w:r>
      <w:r>
        <w:rPr>
          <w:sz w:val="28"/>
          <w:szCs w:val="28"/>
        </w:rPr>
        <w:t xml:space="preserve"> из других бюджетов зачислены в объеме 838 276 тысяч рублей. Снижение в сравнении с 2018 годом составило 26 109 тысяч рублей, в основном за счет уменьшения объема субвенций в связи с передачей в государственную собственность Ленинградской области муниципальных учреждений социального обслуживания населения муниципального образования Сланцевский муниципальный район Ленинградской области.</w:t>
      </w:r>
    </w:p>
    <w:p>
      <w:pPr>
        <w:pStyle w:val="Normal"/>
        <w:ind w:firstLine="709"/>
        <w:jc w:val="both"/>
        <w:rPr>
          <w:sz w:val="28"/>
          <w:szCs w:val="28"/>
        </w:rPr>
      </w:pPr>
      <w:r>
        <w:rPr>
          <w:b/>
          <w:sz w:val="28"/>
          <w:szCs w:val="28"/>
        </w:rPr>
        <w:t>Расходы</w:t>
      </w:r>
      <w:r>
        <w:rPr>
          <w:sz w:val="28"/>
          <w:szCs w:val="28"/>
        </w:rPr>
        <w:t xml:space="preserve"> бюджета района по сравнению с 2018 годом увеличились на 45 805 тысяч рублей.</w:t>
      </w:r>
    </w:p>
    <w:p>
      <w:pPr>
        <w:pStyle w:val="Normal"/>
        <w:ind w:firstLine="709"/>
        <w:jc w:val="both"/>
        <w:rPr>
          <w:sz w:val="28"/>
          <w:szCs w:val="28"/>
        </w:rPr>
      </w:pPr>
      <w:r>
        <w:rPr>
          <w:sz w:val="28"/>
          <w:szCs w:val="28"/>
        </w:rPr>
        <w:t>Исходя из полномочий района, бюджет по-прежнему имеет ярко выраженную социальную направленность, ¾ бюджета направляется на социально-культурную сферу.</w:t>
      </w:r>
    </w:p>
    <w:p>
      <w:pPr>
        <w:pStyle w:val="Normal"/>
        <w:ind w:firstLine="709"/>
        <w:jc w:val="both"/>
        <w:rPr>
          <w:sz w:val="28"/>
          <w:szCs w:val="28"/>
        </w:rPr>
      </w:pPr>
      <w:r>
        <w:rPr>
          <w:sz w:val="28"/>
          <w:szCs w:val="28"/>
        </w:rPr>
        <w:t xml:space="preserve">64 % занимают расходы на </w:t>
      </w:r>
      <w:r>
        <w:rPr>
          <w:b/>
          <w:sz w:val="28"/>
          <w:szCs w:val="28"/>
        </w:rPr>
        <w:t>образование</w:t>
      </w:r>
      <w:r>
        <w:rPr>
          <w:sz w:val="28"/>
          <w:szCs w:val="28"/>
        </w:rPr>
        <w:t xml:space="preserve">, которые составили 839 364 тысячи рублей. 7 % расходов бюджета приходится на </w:t>
      </w:r>
      <w:r>
        <w:rPr>
          <w:b/>
          <w:sz w:val="28"/>
          <w:szCs w:val="28"/>
        </w:rPr>
        <w:t>социальную политику</w:t>
      </w:r>
      <w:r>
        <w:rPr>
          <w:sz w:val="28"/>
          <w:szCs w:val="28"/>
        </w:rPr>
        <w:t xml:space="preserve">, расходы составили 86 675 тысяч рублей. 4 % занимают расходы на </w:t>
      </w:r>
      <w:r>
        <w:rPr>
          <w:b/>
          <w:sz w:val="28"/>
          <w:szCs w:val="28"/>
        </w:rPr>
        <w:t>физическую культуру и спорт</w:t>
      </w:r>
      <w:r>
        <w:rPr>
          <w:sz w:val="28"/>
          <w:szCs w:val="28"/>
        </w:rPr>
        <w:t xml:space="preserve">, которые составили 57 821 тысячу рублей. 3 % расходов приходятся на </w:t>
      </w:r>
      <w:r>
        <w:rPr>
          <w:b/>
          <w:sz w:val="28"/>
          <w:szCs w:val="28"/>
        </w:rPr>
        <w:t>культуру</w:t>
      </w:r>
      <w:r>
        <w:rPr>
          <w:sz w:val="28"/>
          <w:szCs w:val="28"/>
        </w:rPr>
        <w:t>, расходы составили 43 216 тысяч рублей.</w:t>
      </w:r>
    </w:p>
    <w:p>
      <w:pPr>
        <w:pStyle w:val="Normal"/>
        <w:ind w:firstLine="709"/>
        <w:jc w:val="both"/>
        <w:rPr>
          <w:sz w:val="28"/>
          <w:szCs w:val="28"/>
        </w:rPr>
      </w:pPr>
      <w:r>
        <w:rPr>
          <w:sz w:val="28"/>
          <w:szCs w:val="28"/>
        </w:rPr>
        <w:t>Из бюджета района поселениям предоставляется финансовая помощь в виде дотаций и иных межбюджетных трансфертов. В 2019 году предоставлено дотаций 105 147 тысяч рублей, целевых межбюджетных трансфертов 43 822 тысячи рублей, из них 19 429 тысяч рублей на исполнение указов Президента РФ в сфере культуры, 11 785 тысяч рублей на мероприятия по развитию общественной инфраструктуры муниципального значения, 4 127 тысяч рублей на выполнение землеустроительных работ для внесения сведений о границах населенных пунктов и границах территориальных зон в Единый государственный реестр недвижимости и внесения изменений в правила землепользования и застройки поселения.</w:t>
      </w:r>
    </w:p>
    <w:p>
      <w:pPr>
        <w:pStyle w:val="Normal"/>
        <w:ind w:firstLine="709"/>
        <w:jc w:val="both"/>
        <w:rPr>
          <w:sz w:val="28"/>
          <w:szCs w:val="28"/>
        </w:rPr>
      </w:pPr>
      <w:r>
        <w:rPr>
          <w:b/>
          <w:sz w:val="28"/>
          <w:szCs w:val="28"/>
        </w:rPr>
        <w:t>Муниципальный долг</w:t>
      </w:r>
      <w:r>
        <w:rPr>
          <w:sz w:val="28"/>
          <w:szCs w:val="28"/>
        </w:rPr>
        <w:t xml:space="preserve"> района на конец года составил 7 472 тысячи рублей, за год погашено 7 471 тысяча рублей по бюджетным кредитам, предоставленным из бюджета Ленинградской области.</w:t>
      </w:r>
    </w:p>
    <w:p>
      <w:pPr>
        <w:pStyle w:val="Normal"/>
        <w:jc w:val="center"/>
        <w:rPr/>
      </w:pPr>
      <w:r>
        <w:rPr>
          <w:sz w:val="28"/>
          <w:szCs w:val="28"/>
          <w:u w:val="single"/>
        </w:rPr>
        <w:t>3. Итоги исполнения бюджета Сланцевского городского поселения.</w:t>
      </w:r>
    </w:p>
    <w:p>
      <w:pPr>
        <w:pStyle w:val="Normal"/>
        <w:ind w:firstLine="709"/>
        <w:jc w:val="both"/>
        <w:rPr>
          <w:sz w:val="28"/>
          <w:szCs w:val="28"/>
        </w:rPr>
      </w:pPr>
      <w:r>
        <w:rPr>
          <w:sz w:val="28"/>
          <w:szCs w:val="28"/>
        </w:rPr>
        <w:t>Бюджет города исполнен по доходам в объеме 422</w:t>
      </w:r>
      <w:r>
        <w:rPr>
          <w:sz w:val="28"/>
          <w:szCs w:val="28"/>
          <w:lang w:val="en-US"/>
        </w:rPr>
        <w:t> </w:t>
      </w:r>
      <w:r>
        <w:rPr>
          <w:sz w:val="28"/>
          <w:szCs w:val="28"/>
        </w:rPr>
        <w:t>529 тысяч рублей и по расходам в объеме 401 819 тысяч рублей с профицитом 20 710 тысяч рублей.</w:t>
      </w:r>
    </w:p>
    <w:p>
      <w:pPr>
        <w:pStyle w:val="Normal"/>
        <w:ind w:firstLine="709"/>
        <w:jc w:val="both"/>
        <w:rPr>
          <w:sz w:val="28"/>
          <w:szCs w:val="28"/>
        </w:rPr>
      </w:pPr>
      <w:r>
        <w:rPr>
          <w:b/>
          <w:sz w:val="28"/>
          <w:szCs w:val="28"/>
        </w:rPr>
        <w:t>Доходы</w:t>
      </w:r>
      <w:r>
        <w:rPr>
          <w:sz w:val="28"/>
          <w:szCs w:val="28"/>
        </w:rPr>
        <w:t xml:space="preserve"> поступили на 85 223 тысячи рублей больше, чем в 2018 году.</w:t>
      </w:r>
    </w:p>
    <w:p>
      <w:pPr>
        <w:pStyle w:val="Normal"/>
        <w:ind w:firstLine="709"/>
        <w:jc w:val="both"/>
        <w:rPr>
          <w:sz w:val="28"/>
          <w:szCs w:val="28"/>
        </w:rPr>
      </w:pPr>
      <w:r>
        <w:rPr>
          <w:b/>
          <w:sz w:val="28"/>
          <w:szCs w:val="28"/>
        </w:rPr>
        <w:t>Налоговые и неналоговые доходы</w:t>
      </w:r>
      <w:r>
        <w:rPr>
          <w:sz w:val="28"/>
          <w:szCs w:val="28"/>
        </w:rPr>
        <w:t xml:space="preserve"> поступили в объеме 166 220 тысяч рублей, что на 2 061 тысячу рублей больше поступлений за 2018 год. Увеличение произошло за счет роста поступлений по НДФЛ, по арендной плате за земли и имущество.</w:t>
      </w:r>
    </w:p>
    <w:p>
      <w:pPr>
        <w:pStyle w:val="Normal"/>
        <w:ind w:firstLine="709"/>
        <w:jc w:val="both"/>
        <w:rPr>
          <w:sz w:val="28"/>
          <w:szCs w:val="28"/>
        </w:rPr>
      </w:pPr>
      <w:r>
        <w:rPr>
          <w:b/>
          <w:sz w:val="28"/>
          <w:szCs w:val="28"/>
        </w:rPr>
        <w:t>Налог на доходы физических лиц</w:t>
      </w:r>
      <w:r>
        <w:rPr>
          <w:sz w:val="28"/>
          <w:szCs w:val="28"/>
        </w:rPr>
        <w:t xml:space="preserve"> поступил в сумме 55 058 тысяч рублей. К предыдущему году поступление налога увеличилось на 3 966 тысяч рублей.</w:t>
      </w:r>
    </w:p>
    <w:p>
      <w:pPr>
        <w:pStyle w:val="Normal"/>
        <w:ind w:firstLine="709"/>
        <w:jc w:val="both"/>
        <w:rPr>
          <w:b/>
          <w:b/>
          <w:sz w:val="28"/>
          <w:szCs w:val="28"/>
        </w:rPr>
      </w:pPr>
      <w:r>
        <w:rPr>
          <w:b/>
          <w:sz w:val="28"/>
          <w:szCs w:val="28"/>
        </w:rPr>
        <w:t>Арендная плата за земли и имущество</w:t>
      </w:r>
      <w:r>
        <w:rPr>
          <w:sz w:val="28"/>
          <w:szCs w:val="28"/>
        </w:rPr>
        <w:t xml:space="preserve"> поступила в сумме 55 307 тысяч рублей, что на 2 679 тысяч рублей больше поступлений в 2018 году.</w:t>
      </w:r>
    </w:p>
    <w:p>
      <w:pPr>
        <w:pStyle w:val="Normal"/>
        <w:ind w:firstLine="709"/>
        <w:jc w:val="both"/>
        <w:rPr>
          <w:sz w:val="28"/>
          <w:szCs w:val="28"/>
        </w:rPr>
      </w:pPr>
      <w:r>
        <w:rPr>
          <w:b/>
          <w:sz w:val="28"/>
          <w:szCs w:val="28"/>
        </w:rPr>
        <w:t>Безвозмездные поступления</w:t>
      </w:r>
      <w:r>
        <w:rPr>
          <w:sz w:val="28"/>
          <w:szCs w:val="28"/>
        </w:rPr>
        <w:t xml:space="preserve"> из других бюджетов составили 256 309 тысяч рублей и по сравнению с 2018 годом увеличились на 83 162 тысячи рублей в основном за счет роста объема субсидий, из которых 60 928 тысяч рублей составляют субсидии на капитальный ремонт и ремонт автомобильных дорог общего пользования местного значения, имеющих приоритетный социально-значимый характер.</w:t>
      </w:r>
    </w:p>
    <w:p>
      <w:pPr>
        <w:pStyle w:val="Normal"/>
        <w:ind w:firstLine="709"/>
        <w:jc w:val="both"/>
        <w:rPr>
          <w:sz w:val="28"/>
          <w:szCs w:val="28"/>
        </w:rPr>
      </w:pPr>
      <w:r>
        <w:rPr>
          <w:b/>
          <w:sz w:val="28"/>
          <w:szCs w:val="28"/>
        </w:rPr>
        <w:t>Расходы</w:t>
      </w:r>
      <w:r>
        <w:rPr>
          <w:sz w:val="28"/>
          <w:szCs w:val="28"/>
        </w:rPr>
        <w:t xml:space="preserve"> составили 401 819 тысяч рублей, что на 47 316 тысяч рублей больше расходов 2018 года.</w:t>
      </w:r>
    </w:p>
    <w:p>
      <w:pPr>
        <w:pStyle w:val="Normal"/>
        <w:ind w:firstLine="709"/>
        <w:jc w:val="both"/>
        <w:rPr>
          <w:sz w:val="28"/>
          <w:szCs w:val="28"/>
        </w:rPr>
      </w:pPr>
      <w:r>
        <w:rPr>
          <w:sz w:val="28"/>
          <w:szCs w:val="28"/>
        </w:rPr>
        <w:t>Исходя из полномочий города, основную долю (91 %) в расходной части бюджета составляют расходы по разделам: «Национальная экономика», включая «Дорожное хозяйство», «Жилищно-коммунальное хозяйство» и «Культура».</w:t>
      </w:r>
    </w:p>
    <w:p>
      <w:pPr>
        <w:pStyle w:val="Normal"/>
        <w:ind w:firstLine="709"/>
        <w:jc w:val="both"/>
        <w:rPr>
          <w:sz w:val="28"/>
          <w:szCs w:val="28"/>
        </w:rPr>
      </w:pPr>
      <w:r>
        <w:rPr>
          <w:sz w:val="28"/>
          <w:szCs w:val="28"/>
        </w:rPr>
        <w:t xml:space="preserve">Расходы по разделу </w:t>
      </w:r>
      <w:r>
        <w:rPr>
          <w:b/>
          <w:sz w:val="28"/>
          <w:szCs w:val="28"/>
        </w:rPr>
        <w:t>«Жилищно-коммунальное хозяйство»</w:t>
      </w:r>
      <w:r>
        <w:rPr>
          <w:sz w:val="28"/>
          <w:szCs w:val="28"/>
        </w:rPr>
        <w:t xml:space="preserve"> составили 134 473 тысячи рублей, из них 65 349 тысяч рублей – расходы на мероприятия по благоустройству территории городского поселения.</w:t>
      </w:r>
    </w:p>
    <w:p>
      <w:pPr>
        <w:pStyle w:val="Normal"/>
        <w:ind w:firstLine="709"/>
        <w:jc w:val="both"/>
        <w:rPr>
          <w:sz w:val="28"/>
          <w:szCs w:val="28"/>
        </w:rPr>
      </w:pPr>
      <w:r>
        <w:rPr>
          <w:sz w:val="28"/>
          <w:szCs w:val="28"/>
        </w:rPr>
        <w:t xml:space="preserve">Расходы по разделу </w:t>
      </w:r>
      <w:r>
        <w:rPr>
          <w:b/>
          <w:sz w:val="28"/>
          <w:szCs w:val="28"/>
        </w:rPr>
        <w:t xml:space="preserve">«Национальная экономика» </w:t>
      </w:r>
      <w:r>
        <w:rPr>
          <w:sz w:val="28"/>
          <w:szCs w:val="28"/>
        </w:rPr>
        <w:t>составили 136 036 тысяч рублей, из них расходы на содержание и ремонт дорог 124 492 тысяч рублей.</w:t>
      </w:r>
    </w:p>
    <w:p>
      <w:pPr>
        <w:pStyle w:val="Normal"/>
        <w:ind w:firstLine="709"/>
        <w:jc w:val="both"/>
        <w:rPr>
          <w:sz w:val="28"/>
          <w:szCs w:val="28"/>
        </w:rPr>
      </w:pPr>
      <w:r>
        <w:rPr>
          <w:sz w:val="28"/>
          <w:szCs w:val="28"/>
        </w:rPr>
        <w:t xml:space="preserve">На содержание учреждений </w:t>
      </w:r>
      <w:r>
        <w:rPr>
          <w:b/>
          <w:sz w:val="28"/>
          <w:szCs w:val="28"/>
        </w:rPr>
        <w:t>культуры</w:t>
      </w:r>
      <w:r>
        <w:rPr>
          <w:sz w:val="28"/>
          <w:szCs w:val="28"/>
        </w:rPr>
        <w:t xml:space="preserve"> и проведение мероприятий в сфере культуры направлено 95 756 тысяч рублей.</w:t>
      </w:r>
    </w:p>
    <w:p>
      <w:pPr>
        <w:pStyle w:val="Normal"/>
        <w:ind w:firstLine="709"/>
        <w:jc w:val="both"/>
        <w:rPr>
          <w:sz w:val="28"/>
          <w:szCs w:val="28"/>
        </w:rPr>
      </w:pPr>
      <w:r>
        <w:rPr>
          <w:b/>
          <w:sz w:val="28"/>
          <w:szCs w:val="28"/>
        </w:rPr>
        <w:t>Муниципальный долг</w:t>
      </w:r>
      <w:r>
        <w:rPr>
          <w:sz w:val="28"/>
          <w:szCs w:val="28"/>
        </w:rPr>
        <w:t xml:space="preserve"> города на конец года составил 7 143 тысячи рублей, за год погашено 7 143 тысячи рублей по бюджетным кредитам, предоставленным из бюджета Ленинградской области.</w:t>
      </w:r>
    </w:p>
    <w:p>
      <w:pPr>
        <w:pStyle w:val="Normal"/>
        <w:jc w:val="center"/>
        <w:rPr/>
      </w:pPr>
      <w:r>
        <w:rPr>
          <w:rFonts w:cs="Times New Roman"/>
          <w:b/>
          <w:sz w:val="28"/>
          <w:szCs w:val="28"/>
        </w:rPr>
        <w:t>Экономика</w:t>
      </w:r>
    </w:p>
    <w:p>
      <w:pPr>
        <w:pStyle w:val="Normal"/>
        <w:shd w:val="clear" w:color="auto" w:fill="FFFFFF"/>
        <w:ind w:firstLine="709"/>
        <w:jc w:val="both"/>
        <w:rPr/>
      </w:pPr>
      <w:r>
        <w:rPr>
          <w:sz w:val="28"/>
          <w:szCs w:val="28"/>
        </w:rPr>
        <w:t xml:space="preserve">Основой благополучия и успехов в социальной сфере является экономика. </w:t>
      </w:r>
      <w:r>
        <w:rPr>
          <w:b/>
          <w:sz w:val="28"/>
          <w:szCs w:val="28"/>
        </w:rPr>
        <w:t>Экономический потенциал</w:t>
      </w:r>
      <w:r>
        <w:rPr>
          <w:sz w:val="28"/>
          <w:szCs w:val="28"/>
        </w:rPr>
        <w:t xml:space="preserve"> района составляют предприятия обрабатывающей промышленности, сельского хозяйства, малого и среднего предпринимательства.</w:t>
      </w:r>
    </w:p>
    <w:p>
      <w:pPr>
        <w:pStyle w:val="Normal"/>
        <w:ind w:firstLine="709"/>
        <w:jc w:val="both"/>
        <w:rPr>
          <w:sz w:val="28"/>
          <w:szCs w:val="28"/>
        </w:rPr>
      </w:pPr>
      <w:r>
        <w:rPr>
          <w:sz w:val="28"/>
          <w:szCs w:val="28"/>
        </w:rPr>
        <w:t>На территории Сланцевского района зарегистрировано 400 организаций и 1433 индивидуальных предпринимателя.</w:t>
      </w:r>
    </w:p>
    <w:p>
      <w:pPr>
        <w:pStyle w:val="Normal"/>
        <w:ind w:firstLine="709"/>
        <w:jc w:val="both"/>
        <w:rPr>
          <w:sz w:val="28"/>
          <w:szCs w:val="28"/>
        </w:rPr>
      </w:pPr>
      <w:r>
        <w:rPr>
          <w:sz w:val="28"/>
          <w:szCs w:val="28"/>
        </w:rPr>
        <w:t>В экономике района занято 15156 человек.</w:t>
      </w:r>
    </w:p>
    <w:p>
      <w:pPr>
        <w:pStyle w:val="Normal"/>
        <w:ind w:firstLine="709"/>
        <w:jc w:val="both"/>
        <w:rPr>
          <w:sz w:val="28"/>
          <w:szCs w:val="28"/>
        </w:rPr>
      </w:pPr>
      <w:r>
        <w:rPr>
          <w:sz w:val="28"/>
          <w:szCs w:val="28"/>
        </w:rPr>
        <w:t>Основная преобладающая отрасль экономики - промышленность.</w:t>
      </w:r>
    </w:p>
    <w:p>
      <w:pPr>
        <w:pStyle w:val="Normal"/>
        <w:ind w:firstLine="709"/>
        <w:jc w:val="both"/>
        <w:rPr>
          <w:sz w:val="28"/>
          <w:szCs w:val="28"/>
        </w:rPr>
      </w:pPr>
      <w:r>
        <w:rPr>
          <w:sz w:val="28"/>
          <w:szCs w:val="28"/>
        </w:rPr>
        <w:t>К наиболее значимым промышленным предприятиям района по основным видам деятельности относятся следующие организации: ООО «СЛАНЦЫ», ОАО «Сланцевский цементный завод «Цесла», ООО «Петербургцемент», ООО «ЕвроАэроБетон», АО «Нева-Энергия».</w:t>
      </w:r>
    </w:p>
    <w:p>
      <w:pPr>
        <w:pStyle w:val="Normal"/>
        <w:ind w:firstLine="709"/>
        <w:jc w:val="both"/>
        <w:rPr>
          <w:sz w:val="28"/>
          <w:szCs w:val="28"/>
        </w:rPr>
      </w:pPr>
      <w:r>
        <w:rPr>
          <w:sz w:val="28"/>
          <w:szCs w:val="28"/>
        </w:rPr>
        <w:t>Оборот организаций по Сланцевскому району за 2019 год составил 15,7 млрд. руб., что на 23% в действующих ценах меньше, чем за 2018 год.</w:t>
      </w:r>
    </w:p>
    <w:p>
      <w:pPr>
        <w:pStyle w:val="Normal"/>
        <w:ind w:firstLine="709"/>
        <w:jc w:val="both"/>
        <w:rPr>
          <w:sz w:val="28"/>
          <w:szCs w:val="28"/>
        </w:rPr>
      </w:pPr>
      <w:r>
        <w:rPr>
          <w:sz w:val="28"/>
          <w:szCs w:val="28"/>
        </w:rPr>
        <w:t>Отгрузка товаров собственного производства, выполнение работ и услуг крупными и средними предприятиями Сланцевского района за отчетный период сократилась на 21,9% по сравнению с прошлым годом исоставила 12,2 млрд. руб.,</w:t>
      </w:r>
    </w:p>
    <w:p>
      <w:pPr>
        <w:pStyle w:val="Style22"/>
        <w:spacing w:before="0" w:after="0"/>
        <w:ind w:left="0" w:firstLine="709"/>
        <w:jc w:val="both"/>
        <w:rPr>
          <w:rFonts w:cs="Times New Roman"/>
          <w:kern w:val="0"/>
          <w:sz w:val="28"/>
          <w:szCs w:val="28"/>
          <w:lang w:eastAsia="ru-RU"/>
        </w:rPr>
      </w:pPr>
      <w:r>
        <w:rPr>
          <w:rFonts w:cs="Times New Roman"/>
          <w:kern w:val="0"/>
          <w:sz w:val="28"/>
          <w:szCs w:val="28"/>
          <w:lang w:eastAsia="ru-RU"/>
        </w:rPr>
        <w:t>В структуре объемов отгрузки по видам деятельности преобладают обрабатывающие производства – 69,2%.</w:t>
      </w:r>
    </w:p>
    <w:p>
      <w:pPr>
        <w:pStyle w:val="Normal"/>
        <w:shd w:val="clear" w:color="auto" w:fill="FFFFFF"/>
        <w:ind w:firstLine="709"/>
        <w:jc w:val="both"/>
        <w:rPr>
          <w:sz w:val="28"/>
          <w:szCs w:val="28"/>
        </w:rPr>
      </w:pPr>
      <w:r>
        <w:rPr>
          <w:sz w:val="28"/>
          <w:szCs w:val="28"/>
        </w:rPr>
        <w:t>Среднемесячная заработная плата в целом по Сланцевскому району за 9 месяцев 2019 года увеличилась на 5,6% по сравнению с аналогичным периодом 2018 годом и составила 37278 рублей.</w:t>
      </w:r>
    </w:p>
    <w:p>
      <w:pPr>
        <w:pStyle w:val="Normal"/>
        <w:shd w:val="clear" w:color="auto" w:fill="FFFFFF"/>
        <w:ind w:firstLine="709"/>
        <w:jc w:val="center"/>
        <w:rPr/>
      </w:pPr>
      <w:r>
        <w:rPr>
          <w:b/>
          <w:bCs/>
          <w:sz w:val="28"/>
          <w:szCs w:val="28"/>
        </w:rPr>
        <w:t>Рынок труда</w:t>
      </w:r>
    </w:p>
    <w:p>
      <w:pPr>
        <w:pStyle w:val="Normal"/>
        <w:ind w:firstLine="709"/>
        <w:jc w:val="both"/>
        <w:rPr>
          <w:sz w:val="28"/>
          <w:szCs w:val="28"/>
        </w:rPr>
      </w:pPr>
      <w:r>
        <w:rPr>
          <w:sz w:val="28"/>
          <w:szCs w:val="28"/>
        </w:rPr>
        <w:t>В 2019 году на рынке труда Сланцевского муниципального района сохранялась достаточно стабильная ситуация.</w:t>
      </w:r>
    </w:p>
    <w:p>
      <w:pPr>
        <w:pStyle w:val="Normal"/>
        <w:ind w:firstLine="709"/>
        <w:jc w:val="both"/>
        <w:rPr>
          <w:sz w:val="28"/>
          <w:szCs w:val="28"/>
        </w:rPr>
      </w:pPr>
      <w:r>
        <w:rPr>
          <w:sz w:val="28"/>
          <w:szCs w:val="28"/>
        </w:rPr>
        <w:t>Уровень зарегистрированной безработицы на 01.01.2020 снизился на 0,21 процентных пункта и составил 0,69% от экономически активного населения района.</w:t>
      </w:r>
    </w:p>
    <w:p>
      <w:pPr>
        <w:pStyle w:val="Normal"/>
        <w:ind w:firstLine="709"/>
        <w:jc w:val="both"/>
        <w:rPr>
          <w:sz w:val="28"/>
          <w:szCs w:val="28"/>
        </w:rPr>
      </w:pPr>
      <w:r>
        <w:rPr>
          <w:sz w:val="28"/>
          <w:szCs w:val="28"/>
        </w:rPr>
        <w:t>По данным Сланцевского филиала ГКУ «Центр занятости населения Ленинградской области» на 01.01.2020 на учете состояло 157 безработных граждан.</w:t>
      </w:r>
    </w:p>
    <w:p>
      <w:pPr>
        <w:pStyle w:val="Normal"/>
        <w:ind w:firstLine="709"/>
        <w:jc w:val="both"/>
        <w:rPr>
          <w:sz w:val="28"/>
          <w:szCs w:val="28"/>
        </w:rPr>
      </w:pPr>
      <w:r>
        <w:rPr>
          <w:sz w:val="28"/>
          <w:szCs w:val="28"/>
        </w:rPr>
        <w:t>Количество заявленных вакансий – 348, в том числе на таких значимых предприятиях как ОАО Сланцевский цементный завод «Цесла» (19 вакансий),ООО «Петербургцемент» (21 вакансия),ООО «Сланцы» (13 вакансий), ЗАО «Осьминское» (26 вакансий),ГБУЗ ЛО «Сланцевская МБ» (22 вакансии), ООО «Русский промышленник» (17 вакансий), и т.д.</w:t>
      </w:r>
    </w:p>
    <w:p>
      <w:pPr>
        <w:pStyle w:val="4"/>
        <w:shd w:val="clear" w:color="auto" w:fill="FFFFFF"/>
        <w:spacing w:beforeAutospacing="0" w:before="0" w:afterAutospacing="0" w:after="0"/>
        <w:ind w:firstLine="709"/>
        <w:jc w:val="both"/>
        <w:rPr>
          <w:b w:val="false"/>
          <w:b w:val="false"/>
          <w:sz w:val="28"/>
          <w:szCs w:val="28"/>
        </w:rPr>
      </w:pPr>
      <w:r>
        <w:rPr>
          <w:b w:val="false"/>
          <w:sz w:val="28"/>
          <w:szCs w:val="28"/>
        </w:rPr>
        <w:t xml:space="preserve">Число трудоустроенных на все виды работ за 2018 год составило 750человек. </w:t>
      </w:r>
    </w:p>
    <w:p>
      <w:pPr>
        <w:pStyle w:val="Normal"/>
        <w:ind w:firstLine="709"/>
        <w:jc w:val="both"/>
        <w:rPr>
          <w:sz w:val="28"/>
          <w:szCs w:val="28"/>
        </w:rPr>
      </w:pPr>
      <w:r>
        <w:rPr>
          <w:sz w:val="28"/>
          <w:szCs w:val="28"/>
        </w:rPr>
        <w:t>Для решения задачи оценки трудового потенциала и разработки технологии влияния на его развитие в рамках реализации проекта «Формирование Центров деловой активности территорий на базе центров занятости населения» в Сланцевском муниципальном районе актуализирована информация по 165 паспортам трудовых ресурсов (1 паспорт по району в целом, 7 паспортов городских и сельских поселений и 157 паспортов – по населенным пунктам, расположенным на территории Сланцевского муниципального района).</w:t>
      </w:r>
    </w:p>
    <w:p>
      <w:pPr>
        <w:pStyle w:val="Normal"/>
        <w:jc w:val="center"/>
        <w:rPr/>
      </w:pPr>
      <w:r>
        <w:rPr>
          <w:b/>
          <w:sz w:val="28"/>
          <w:szCs w:val="28"/>
        </w:rPr>
        <w:t>Сельское хозяйство</w:t>
      </w:r>
    </w:p>
    <w:p>
      <w:pPr>
        <w:pStyle w:val="NoSpacing1"/>
        <w:spacing w:lineRule="atLeast" w:line="200"/>
        <w:ind w:firstLine="850"/>
        <w:jc w:val="both"/>
        <w:rPr/>
      </w:pPr>
      <w:r>
        <w:rPr>
          <w:rFonts w:ascii="Times New Roman" w:hAnsi="Times New Roman"/>
          <w:sz w:val="28"/>
          <w:szCs w:val="28"/>
          <w:lang w:eastAsia="ru-RU"/>
        </w:rPr>
        <w:t>В Сланцевском районе работают 3 сельскохозяйственных предприятия, специализирующиеся на молочном животноводстве: АО «Родина», ООО «Осьминское», ООО «Сланцевское, 4 предприятия пищевой и перерабатывающей промышленности: ИП Грязнова Т.Н., ООО «Галакс», ООО «Нар», ООО «Русский промышленник», 1 предприятие по разведению радужной форели – ООО «Гальян», 1 сельскохозяйственное предприятие ООО«Крафт», специализирующее на выращивании овощей защищенного грунта.</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В 2019 году среднесписочная численность работающих в агропромышленном комплексе района составила 593 человека. Среднемесячная зарплата работников сельхозпредприятий увеличилась на 4% в сравнении с 2018 годом и составила 34 423 руб.</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На территории Сланцевского района развиваются малые формы хозяйствования, на налоговом учете состоит 30 крестьянских (фермерских) хозяйств, из них 13 К(Ф)Х в 2019 году воспользовались мерами государственной поддержки. Порядка 1200 граждан ведут личное подсобное хозяйство.</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В рамках реализации муниципальной программы развития агропромышленного комплекса в 2019 году на поддержку сельскохозяйственного производства было выделено 1 128,1 тыс.руб.</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В 2019 году предоставлено субсидий на возмещение части затрат по приобретению комбикорма на содержание сельскохозяйственных животных и птицы 85 получателям на  общую сумму 982,8 тыс.руб.</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4 крестьянским (фермерским) хозяйствам оказана поддержка в части  затрат по приобретению минеральных удобрений  на сумму 145,3 тыс. руб.</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 xml:space="preserve">В рамках реализации подпрограммы «Устойчивое развитие сельских территорий Ленинградской области на 2014-2017 годы и на период до 2020 года» в 2019 году: </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 выполнен капитальный ремонт дома культуры в дер. Ложголово Старопольского сельского поселения Сланцевского муниципального района, сумма контракта составила — 9,2 млн. руб. (экономия — 1,3 млн.руб.).</w:t>
      </w:r>
    </w:p>
    <w:p>
      <w:pPr>
        <w:pStyle w:val="Normal"/>
        <w:spacing w:lineRule="atLeast" w:line="200"/>
        <w:ind w:firstLine="850"/>
        <w:jc w:val="both"/>
        <w:rPr>
          <w:sz w:val="28"/>
          <w:szCs w:val="28"/>
        </w:rPr>
      </w:pPr>
      <w:r>
        <w:rPr>
          <w:sz w:val="28"/>
          <w:szCs w:val="28"/>
        </w:rPr>
        <w:t>- ведется строительство фельдшерско-акушерского пункта в дер. Овсище Старопольского сельского поселения Сланцевского муниципального района.  Произведена обрешетка кровли и облицовка фасада, освоено 36,1 млн.руб. На 2020 год планируется освоить 21,2 млн.руб.</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 xml:space="preserve">В 2019 году стартовала реализация программы Ленинградский гектар. По результатам конкурсных отборов 3 участника получили в аренду на льготных условиях земельные участки на территории Сланцевского муниципального района, также они будут иметь право на получение гранта в сумме до 3 млн. рублей (включая единовременную помощь на бытовое обустройство не более 500 тыс. рублей) и право на получение всех видов субсидий, на которые могут претендовать сельскохозяйственные товаропроизводители. </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Благодаря активной поддержке сельского хозяйства на федеральном и региональном уровнях в 2020 году ожидается увеличение числа вновь зарегистрированных фермеров, которые станут получателями грантовой поддержки по направлениям начинающий фермер и агростартап. По направлению Ленинградских гектар фермеры получат и земельный участок и грант.</w:t>
      </w:r>
    </w:p>
    <w:p>
      <w:pPr>
        <w:pStyle w:val="NoSpacing1"/>
        <w:spacing w:lineRule="atLeast" w:line="200"/>
        <w:ind w:firstLine="850"/>
        <w:jc w:val="both"/>
        <w:rPr>
          <w:rFonts w:ascii="Times New Roman" w:hAnsi="Times New Roman"/>
          <w:sz w:val="28"/>
          <w:szCs w:val="28"/>
          <w:lang w:eastAsia="ru-RU"/>
        </w:rPr>
      </w:pPr>
      <w:r>
        <w:rPr>
          <w:rFonts w:ascii="Times New Roman" w:hAnsi="Times New Roman"/>
          <w:sz w:val="28"/>
          <w:szCs w:val="28"/>
          <w:lang w:eastAsia="ru-RU"/>
        </w:rPr>
        <w:t>Разносторонние меры государственной поддержки дали толчок к созданию кооперативного движения, на территории Сланцевского района осуществляет деятельность сельскохозяйственный потребительский  кооператив «Фермерторг».</w:t>
      </w:r>
    </w:p>
    <w:p>
      <w:pPr>
        <w:pStyle w:val="Normal"/>
        <w:jc w:val="center"/>
        <w:rPr/>
      </w:pPr>
      <w:r>
        <w:rPr>
          <w:b/>
          <w:bCs/>
          <w:sz w:val="28"/>
          <w:szCs w:val="28"/>
        </w:rPr>
        <w:t>Малый и средний бизнес</w:t>
      </w:r>
    </w:p>
    <w:p>
      <w:pPr>
        <w:pStyle w:val="Normal"/>
        <w:ind w:firstLine="708"/>
        <w:jc w:val="both"/>
        <w:rPr/>
      </w:pPr>
      <w:r>
        <w:rPr>
          <w:sz w:val="28"/>
          <w:szCs w:val="28"/>
        </w:rPr>
        <w:t>Развитие предпринимательства является одной из приоритетных задач социально-экономического развития Слан</w:t>
        <w:softHyphen/>
        <w:t xml:space="preserve">цевского муниципального района. В течение ряда лет малое и среднее предпринимательство развивалось стабильно: сложилась отраслевая структура, сформировалась производственная сфера. Созданы новые для района виды производств и услуг. </w:t>
      </w:r>
    </w:p>
    <w:p>
      <w:pPr>
        <w:pStyle w:val="Normal"/>
        <w:ind w:firstLine="708"/>
        <w:jc w:val="both"/>
        <w:rPr>
          <w:sz w:val="28"/>
          <w:szCs w:val="28"/>
        </w:rPr>
      </w:pPr>
      <w:r>
        <w:rPr>
          <w:sz w:val="28"/>
          <w:szCs w:val="28"/>
        </w:rPr>
        <w:t>Поставлена одна из главных задач - увеличение числа индивидуальных предпринимателей, которые могли бы помочь сохранить социальную стабильность, обеспечить занятость и сократить безработицу.</w:t>
      </w:r>
    </w:p>
    <w:p>
      <w:pPr>
        <w:pStyle w:val="Normal"/>
        <w:tabs>
          <w:tab w:val="left" w:pos="567" w:leader="none"/>
        </w:tabs>
        <w:ind w:firstLine="709"/>
        <w:jc w:val="both"/>
        <w:rPr>
          <w:sz w:val="28"/>
          <w:szCs w:val="28"/>
        </w:rPr>
      </w:pPr>
      <w:r>
        <w:rPr>
          <w:sz w:val="28"/>
          <w:szCs w:val="28"/>
        </w:rPr>
        <w:t xml:space="preserve">На территории Сланцевского муниципального района осуществляют деятельность 230 малых и средних предприятий, количество индивидуальных предпринимателей, включенных в ЕГРИП по данным Петростата, по состоянию на 01.01.2020 года составляет 1433 человека. </w:t>
      </w:r>
    </w:p>
    <w:p>
      <w:pPr>
        <w:pStyle w:val="Normal"/>
        <w:ind w:firstLine="709"/>
        <w:jc w:val="both"/>
        <w:rPr>
          <w:sz w:val="28"/>
          <w:szCs w:val="28"/>
        </w:rPr>
      </w:pPr>
      <w:r>
        <w:rPr>
          <w:sz w:val="28"/>
          <w:szCs w:val="28"/>
        </w:rPr>
        <w:t>Большую популярность приобретает такой вид трудовой деятельности, как самозанятость – индивидуальное предпринимательство, крестьянские фермерские хозяйства, личные подсобные хозяйства.</w:t>
      </w:r>
    </w:p>
    <w:p>
      <w:pPr>
        <w:pStyle w:val="Normal"/>
        <w:ind w:firstLine="709"/>
        <w:jc w:val="both"/>
        <w:rPr>
          <w:sz w:val="28"/>
          <w:szCs w:val="28"/>
        </w:rPr>
      </w:pPr>
      <w:r>
        <w:rPr>
          <w:sz w:val="28"/>
          <w:szCs w:val="28"/>
        </w:rPr>
        <w:t>Предпринимателями района активно используются все виды поддержки – информационная, финансовая, имущественная.</w:t>
      </w:r>
    </w:p>
    <w:p>
      <w:pPr>
        <w:pStyle w:val="Normal"/>
        <w:ind w:firstLine="567"/>
        <w:jc w:val="both"/>
        <w:rPr>
          <w:sz w:val="28"/>
          <w:szCs w:val="28"/>
        </w:rPr>
      </w:pPr>
      <w:r>
        <w:rPr>
          <w:sz w:val="28"/>
          <w:szCs w:val="28"/>
        </w:rPr>
        <w:t>Поддерживая политику государства в отношении малого и среднего бизнеса, органы местно</w:t>
        <w:softHyphen/>
        <w:t>го самоуправления решают задачу создания благоприятных условий для развития бизнеса на территории района, чему способствует реализация на протяжении ряда лет муниципальных программ по поддержке малого и среднего предпринимательства.</w:t>
      </w:r>
    </w:p>
    <w:p>
      <w:pPr>
        <w:pStyle w:val="Normal"/>
        <w:ind w:firstLine="720"/>
        <w:jc w:val="both"/>
        <w:rPr>
          <w:sz w:val="28"/>
          <w:szCs w:val="28"/>
        </w:rPr>
      </w:pPr>
      <w:r>
        <w:rPr>
          <w:sz w:val="28"/>
          <w:szCs w:val="28"/>
        </w:rPr>
        <w:t xml:space="preserve">Основная и наиболее востребованная и эффективная мера поддержки – это финансовая, реализуемая путем субсидирования субъектов малого и среднего предпринимательства. </w:t>
      </w:r>
    </w:p>
    <w:p>
      <w:pPr>
        <w:pStyle w:val="Normal"/>
        <w:ind w:firstLine="720"/>
        <w:jc w:val="both"/>
        <w:rPr>
          <w:sz w:val="28"/>
          <w:szCs w:val="28"/>
        </w:rPr>
      </w:pPr>
      <w:r>
        <w:rPr>
          <w:sz w:val="28"/>
          <w:szCs w:val="28"/>
        </w:rPr>
        <w:t xml:space="preserve">Данный вид поддержки является одним из самых действенных механизмов поддержки малого и среднего бизнеса, который направлен на решение проблем, связанных с недостатком финансовых средств на создание и развитие бизнеса. </w:t>
      </w:r>
    </w:p>
    <w:p>
      <w:pPr>
        <w:pStyle w:val="Normal"/>
        <w:ind w:firstLine="720"/>
        <w:jc w:val="both"/>
        <w:rPr>
          <w:sz w:val="28"/>
          <w:szCs w:val="28"/>
        </w:rPr>
      </w:pPr>
      <w:r>
        <w:rPr>
          <w:sz w:val="28"/>
          <w:szCs w:val="28"/>
        </w:rPr>
        <w:t>В результате реализации муниципальных программ развития предпринимательства финансовую поддержку (виде предоставления субсидий) с 2011 года получили более 421 субъектов малого и среднего предпринимательства, создано около 696 рабочих мест на общую сумму 313,7 млн. руб.</w:t>
      </w:r>
    </w:p>
    <w:p>
      <w:pPr>
        <w:pStyle w:val="Normal"/>
        <w:ind w:firstLine="720"/>
        <w:jc w:val="both"/>
        <w:rPr>
          <w:sz w:val="28"/>
          <w:szCs w:val="28"/>
        </w:rPr>
      </w:pPr>
      <w:r>
        <w:rPr>
          <w:sz w:val="28"/>
          <w:szCs w:val="28"/>
        </w:rPr>
        <w:t>За 2019 год в рамках программ поддержку получили 20 субъектов ма</w:t>
        <w:softHyphen/>
        <w:t>лого и среднего предпринимательства на общую сумму 12,6 млн. руб. (в том числе из бюджета Ленинградской области 11,7 млн.руб., из местного бюджета 0,825 млн.руб.), создано 33 рабочих места.</w:t>
      </w:r>
    </w:p>
    <w:p>
      <w:pPr>
        <w:pStyle w:val="Normal"/>
        <w:ind w:firstLine="720"/>
        <w:jc w:val="both"/>
        <w:rPr>
          <w:sz w:val="28"/>
          <w:szCs w:val="28"/>
        </w:rPr>
      </w:pPr>
      <w:r>
        <w:rPr>
          <w:sz w:val="28"/>
          <w:szCs w:val="28"/>
        </w:rPr>
        <w:t>Финансовая поддержка компенсировала затраты субъектов малого предпринимательства на приобретение производственного и профессионального оборудования, грузовых и пассажирских автотранспортных средств.</w:t>
      </w:r>
    </w:p>
    <w:p>
      <w:pPr>
        <w:pStyle w:val="Normal"/>
        <w:ind w:firstLine="709"/>
        <w:jc w:val="both"/>
        <w:rPr>
          <w:sz w:val="28"/>
          <w:szCs w:val="28"/>
        </w:rPr>
      </w:pPr>
      <w:r>
        <w:rPr>
          <w:sz w:val="28"/>
          <w:szCs w:val="28"/>
        </w:rPr>
        <w:t>Информационная, консультационная поддержка субъектов малого и среднего предпринимательства реализуется через созданную муниципальную структуру – Фонд поддержки малого и среднего предпринимательства «Социально-деловой центр». В 2019 году оказано 3489 консультаций, проведено 34 мероприятия, количество участников - 605 человек.</w:t>
      </w:r>
    </w:p>
    <w:p>
      <w:pPr>
        <w:pStyle w:val="Normal"/>
        <w:ind w:firstLine="709"/>
        <w:jc w:val="both"/>
        <w:rPr>
          <w:sz w:val="28"/>
          <w:szCs w:val="28"/>
        </w:rPr>
      </w:pPr>
      <w:r>
        <w:rPr>
          <w:sz w:val="28"/>
          <w:szCs w:val="28"/>
        </w:rPr>
        <w:t>Оказана помощь в открытии 64 субъекту малого предпринимательства в виде разработки уставных документов, помощи в государственной регистрации.</w:t>
      </w:r>
    </w:p>
    <w:p>
      <w:pPr>
        <w:pStyle w:val="NormalWeb"/>
        <w:shd w:val="clear" w:color="auto" w:fill="FFFFFF"/>
        <w:spacing w:beforeAutospacing="0" w:before="0" w:after="0"/>
        <w:ind w:firstLine="709"/>
        <w:jc w:val="both"/>
        <w:rPr>
          <w:sz w:val="28"/>
          <w:szCs w:val="28"/>
        </w:rPr>
      </w:pPr>
      <w:r>
        <w:rPr>
          <w:sz w:val="28"/>
          <w:szCs w:val="28"/>
        </w:rPr>
        <w:t>Ежегодно субъекты предпринимательства Сланцевского района принимают участие в обучающей программе «Бизнес Акселерация».</w:t>
      </w:r>
    </w:p>
    <w:p>
      <w:pPr>
        <w:pStyle w:val="Normal"/>
        <w:ind w:firstLine="720"/>
        <w:jc w:val="both"/>
        <w:rPr>
          <w:sz w:val="28"/>
          <w:szCs w:val="28"/>
        </w:rPr>
      </w:pPr>
      <w:r>
        <w:rPr>
          <w:sz w:val="28"/>
          <w:szCs w:val="28"/>
        </w:rPr>
        <w:t>Имущественная поддержка субъектов малого и среднего предпринимательства в Программах предусмотрена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pPr>
        <w:pStyle w:val="Normal"/>
        <w:ind w:firstLine="709"/>
        <w:jc w:val="both"/>
        <w:rPr>
          <w:sz w:val="28"/>
          <w:szCs w:val="28"/>
        </w:rPr>
      </w:pPr>
      <w:r>
        <w:rPr>
          <w:sz w:val="28"/>
          <w:szCs w:val="28"/>
        </w:rPr>
        <w:t>Развитие деятельности, связанной с Бизнес-инкубатором, способствует</w:t>
      </w:r>
      <w:r>
        <w:rPr>
          <w:sz w:val="28"/>
          <w:szCs w:val="28"/>
          <w:lang w:eastAsia="zh-CN"/>
        </w:rPr>
        <w:t xml:space="preserve"> созданию новых бизнесов, решает проблему доступа к производственным площадям, что способствует росту вышеуказанных показателей. </w:t>
      </w:r>
      <w:r>
        <w:rPr>
          <w:sz w:val="28"/>
          <w:szCs w:val="28"/>
        </w:rPr>
        <w:t>Начинающим предпринимателям предоставляются помещения в Бизнес-инкубаторе. На 01.01.2020 года арендаторами занято 768,7 кв.м. общей площади. Количество арендаторов – 15.</w:t>
      </w:r>
    </w:p>
    <w:p>
      <w:pPr>
        <w:pStyle w:val="Normal"/>
        <w:tabs>
          <w:tab w:val="left" w:pos="567" w:leader="none"/>
        </w:tabs>
        <w:ind w:firstLine="567"/>
        <w:jc w:val="both"/>
        <w:rPr>
          <w:sz w:val="28"/>
          <w:szCs w:val="28"/>
          <w:lang w:eastAsia="zh-CN"/>
        </w:rPr>
      </w:pPr>
      <w:r>
        <w:rPr>
          <w:sz w:val="28"/>
          <w:szCs w:val="28"/>
          <w:lang w:eastAsia="zh-CN"/>
        </w:rPr>
        <w:t>Кроме того, Фонду оказывается финансовая поддержка в виде предоставления субсидий из средств местного бюджета на развитие и возмещение затрат на организацию консультационной и информационной поддержки.</w:t>
      </w:r>
    </w:p>
    <w:p>
      <w:pPr>
        <w:pStyle w:val="HTMLPreformatted"/>
        <w:ind w:firstLine="720"/>
        <w:jc w:val="both"/>
        <w:rPr>
          <w:rFonts w:ascii="Times New Roman" w:hAnsi="Times New Roman"/>
          <w:kern w:val="2"/>
          <w:sz w:val="28"/>
          <w:szCs w:val="28"/>
        </w:rPr>
      </w:pPr>
      <w:r>
        <w:rPr>
          <w:rFonts w:ascii="Times New Roman" w:hAnsi="Times New Roman"/>
          <w:kern w:val="2"/>
          <w:sz w:val="28"/>
          <w:szCs w:val="28"/>
        </w:rPr>
        <w:t>Комплексный характер взаимосвязанных проблем в секторе малого и среднего предпринима</w:t>
        <w:softHyphen/>
        <w:t>тельства определяет в качестве единственно возможного программно-целевой метод их решения, предполагающий увязку в рамках программы множества мероприятий по целям, содержа</w:t>
        <w:softHyphen/>
        <w:t xml:space="preserve">нию работ, их исполнителям и ресурсам. </w:t>
      </w:r>
    </w:p>
    <w:p>
      <w:pPr>
        <w:pStyle w:val="Normal"/>
        <w:jc w:val="center"/>
        <w:rPr/>
      </w:pPr>
      <w:r>
        <w:rPr>
          <w:b/>
          <w:sz w:val="28"/>
          <w:szCs w:val="28"/>
        </w:rPr>
        <w:t>Инвестиции</w:t>
      </w:r>
    </w:p>
    <w:p>
      <w:pPr>
        <w:pStyle w:val="ListParagraph"/>
        <w:numPr>
          <w:ilvl w:val="0"/>
          <w:numId w:val="1"/>
        </w:numPr>
        <w:suppressAutoHyphens w:val="false"/>
        <w:ind w:left="0" w:firstLine="709"/>
        <w:jc w:val="both"/>
        <w:rPr/>
      </w:pPr>
      <w:r>
        <w:rPr>
          <w:sz w:val="28"/>
          <w:szCs w:val="28"/>
          <w:lang w:bidi="hi-IN"/>
        </w:rPr>
        <w:t xml:space="preserve">Одной из важнейших задач является повышение инвестиционной привлекательности Сланцевского района, создание условий для привлечения частных инвестиций. </w:t>
      </w:r>
    </w:p>
    <w:p>
      <w:pPr>
        <w:pStyle w:val="ListParagraph"/>
        <w:numPr>
          <w:ilvl w:val="0"/>
          <w:numId w:val="1"/>
        </w:numPr>
        <w:suppressAutoHyphens w:val="false"/>
        <w:ind w:left="0" w:firstLine="709"/>
        <w:jc w:val="both"/>
        <w:rPr>
          <w:sz w:val="28"/>
          <w:szCs w:val="28"/>
        </w:rPr>
      </w:pPr>
      <w:r>
        <w:rPr>
          <w:sz w:val="28"/>
          <w:szCs w:val="28"/>
        </w:rPr>
        <w:t>Объем инвестиций за 9 месяцев 2019 года составил порядка 545 млн. руб., что в 2,6 раза меньше, чем за аналогичный период предыдущего года.</w:t>
      </w:r>
    </w:p>
    <w:p>
      <w:pPr>
        <w:pStyle w:val="ListParagraph"/>
        <w:numPr>
          <w:ilvl w:val="0"/>
          <w:numId w:val="1"/>
        </w:numPr>
        <w:suppressAutoHyphens w:val="false"/>
        <w:ind w:left="0" w:firstLine="709"/>
        <w:jc w:val="both"/>
        <w:rPr>
          <w:sz w:val="28"/>
          <w:szCs w:val="28"/>
        </w:rPr>
      </w:pPr>
      <w:r>
        <w:rPr>
          <w:sz w:val="28"/>
          <w:szCs w:val="28"/>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p>
    <w:p>
      <w:pPr>
        <w:pStyle w:val="ListParagraph"/>
        <w:shd w:val="clear" w:color="auto" w:fill="FFFFFF"/>
        <w:ind w:left="0" w:firstLine="720"/>
        <w:jc w:val="both"/>
        <w:rPr>
          <w:sz w:val="28"/>
          <w:szCs w:val="28"/>
          <w:lang w:eastAsia="ru-RU"/>
        </w:rPr>
      </w:pPr>
      <w:r>
        <w:rPr>
          <w:sz w:val="28"/>
          <w:szCs w:val="28"/>
          <w:lang w:eastAsia="ru-RU"/>
        </w:rPr>
        <w:t xml:space="preserve">ОАО «Сланцевский цементный завод «Цесла»продолжает реализацию инвестиционных проектов, направленных на автоматизацию внутризаводской логистической инфраструктуры, модернизацию основного производственного оборудования, усиление добывающих и перерабатывающих мощностей, дальнейшую разработку карьера. </w:t>
      </w:r>
    </w:p>
    <w:p>
      <w:pPr>
        <w:pStyle w:val="ListParagraph"/>
        <w:numPr>
          <w:ilvl w:val="0"/>
          <w:numId w:val="1"/>
        </w:numPr>
        <w:tabs>
          <w:tab w:val="left" w:pos="709" w:leader="none"/>
        </w:tabs>
        <w:suppressAutoHyphens w:val="false"/>
        <w:ind w:left="0" w:firstLine="709"/>
        <w:jc w:val="both"/>
        <w:rPr>
          <w:sz w:val="28"/>
          <w:szCs w:val="28"/>
          <w:lang w:bidi="hi-IN"/>
        </w:rPr>
      </w:pPr>
      <w:r>
        <w:rPr>
          <w:sz w:val="28"/>
          <w:szCs w:val="28"/>
          <w:lang w:bidi="hi-IN"/>
        </w:rPr>
        <w:t>ООО «СЛАНЦЫ» разработаны проекты по возобновлению добычи горючих сланцев открытым способом, строительству установки по производству метанола и сланцевого масла, организации частного индустриального парка на промышленной площадке предприятия.</w:t>
      </w:r>
    </w:p>
    <w:p>
      <w:pPr>
        <w:pStyle w:val="ListParagraph"/>
        <w:numPr>
          <w:ilvl w:val="0"/>
          <w:numId w:val="1"/>
        </w:numPr>
        <w:tabs>
          <w:tab w:val="left" w:pos="709" w:leader="none"/>
        </w:tabs>
        <w:suppressAutoHyphens w:val="false"/>
        <w:ind w:left="0" w:firstLine="709"/>
        <w:jc w:val="both"/>
        <w:rPr>
          <w:sz w:val="28"/>
          <w:szCs w:val="28"/>
          <w:lang w:bidi="hi-IN"/>
        </w:rPr>
      </w:pPr>
      <w:r>
        <w:rPr>
          <w:sz w:val="28"/>
          <w:szCs w:val="28"/>
          <w:lang w:bidi="hi-IN"/>
        </w:rPr>
        <w:t>С 2018 года реализуется проект по производству резиновой обуви ООО «БТР-С».</w:t>
      </w:r>
    </w:p>
    <w:p>
      <w:pPr>
        <w:pStyle w:val="ListParagraph"/>
        <w:numPr>
          <w:ilvl w:val="0"/>
          <w:numId w:val="1"/>
        </w:numPr>
        <w:tabs>
          <w:tab w:val="left" w:pos="709" w:leader="none"/>
        </w:tabs>
        <w:suppressAutoHyphens w:val="false"/>
        <w:ind w:left="0" w:firstLine="709"/>
        <w:jc w:val="both"/>
        <w:rPr>
          <w:sz w:val="28"/>
          <w:szCs w:val="28"/>
          <w:lang w:bidi="hi-IN"/>
        </w:rPr>
      </w:pPr>
      <w:r>
        <w:rPr>
          <w:sz w:val="28"/>
          <w:szCs w:val="28"/>
          <w:lang w:bidi="hi-IN"/>
        </w:rPr>
        <w:t>Продолжает реализацию инвестиционных проектов ООО «Инновационные технологии» по внедрению оборудования для непрерывной печати на полимерных пленках и оборудования намотки/размотки для непрерывной печати на полимерных пленках.</w:t>
      </w:r>
    </w:p>
    <w:p>
      <w:pPr>
        <w:pStyle w:val="ListParagraph"/>
        <w:numPr>
          <w:ilvl w:val="0"/>
          <w:numId w:val="1"/>
        </w:numPr>
        <w:tabs>
          <w:tab w:val="left" w:pos="709" w:leader="none"/>
        </w:tabs>
        <w:suppressAutoHyphens w:val="false"/>
        <w:ind w:left="0" w:firstLine="709"/>
        <w:jc w:val="both"/>
        <w:rPr>
          <w:sz w:val="28"/>
          <w:szCs w:val="28"/>
          <w:lang w:bidi="hi-IN"/>
        </w:rPr>
      </w:pPr>
      <w:r>
        <w:rPr>
          <w:sz w:val="28"/>
          <w:szCs w:val="28"/>
          <w:lang w:bidi="hi-IN"/>
        </w:rPr>
        <w:t>Ведется работа по реализации инвестиционного проекта ООО «Иск-Энерго» по производству чёрных пеллет - биотоплива, получаемого из торфа, древесных отходов и отходов сельского хозяйства. В 2019 году получено разрешение на строительство производства.</w:t>
      </w:r>
    </w:p>
    <w:p>
      <w:pPr>
        <w:pStyle w:val="ListParagraph"/>
        <w:numPr>
          <w:ilvl w:val="0"/>
          <w:numId w:val="1"/>
        </w:numPr>
        <w:tabs>
          <w:tab w:val="left" w:pos="709" w:leader="none"/>
        </w:tabs>
        <w:suppressAutoHyphens w:val="false"/>
        <w:ind w:left="0" w:firstLine="709"/>
        <w:jc w:val="both"/>
        <w:rPr>
          <w:sz w:val="28"/>
          <w:szCs w:val="28"/>
          <w:lang w:bidi="hi-IN"/>
        </w:rPr>
      </w:pPr>
      <w:r>
        <w:rPr>
          <w:sz w:val="28"/>
          <w:szCs w:val="28"/>
          <w:lang w:bidi="hi-IN"/>
        </w:rPr>
        <w:t>ЗАО «Осьминское» ведет работу по реализации проекта по модернизации молочно-товарной фермы на 1000 коров в д.Замошье.</w:t>
      </w:r>
    </w:p>
    <w:p>
      <w:pPr>
        <w:pStyle w:val="ListParagraph"/>
        <w:numPr>
          <w:ilvl w:val="0"/>
          <w:numId w:val="1"/>
        </w:numPr>
        <w:suppressAutoHyphens w:val="false"/>
        <w:snapToGrid w:val="false"/>
        <w:ind w:left="0" w:firstLine="709"/>
        <w:jc w:val="both"/>
        <w:rPr>
          <w:sz w:val="28"/>
          <w:szCs w:val="28"/>
          <w:lang w:bidi="hi-IN"/>
        </w:rPr>
      </w:pPr>
      <w:r>
        <w:rPr>
          <w:sz w:val="28"/>
          <w:szCs w:val="28"/>
          <w:lang w:bidi="hi-IN"/>
        </w:rPr>
        <w:t>Также с целью привлечения дополнительных инвестиций и благоустройства города, администрация провела работу по п</w:t>
      </w:r>
      <w:r>
        <w:rPr>
          <w:sz w:val="28"/>
          <w:szCs w:val="28"/>
        </w:rPr>
        <w:t xml:space="preserve">одаче </w:t>
      </w:r>
      <w:r>
        <w:rPr>
          <w:sz w:val="28"/>
          <w:szCs w:val="28"/>
          <w:lang w:bidi="hi-IN"/>
        </w:rPr>
        <w:t xml:space="preserve">3-х </w:t>
      </w:r>
      <w:r>
        <w:rPr>
          <w:sz w:val="28"/>
          <w:szCs w:val="28"/>
        </w:rPr>
        <w:t xml:space="preserve">проектных заявок по Программе приграничного сотрудничества </w:t>
      </w:r>
      <w:r>
        <w:rPr>
          <w:sz w:val="28"/>
          <w:szCs w:val="28"/>
          <w:lang w:bidi="hi-IN"/>
        </w:rPr>
        <w:t xml:space="preserve">«Россия - Эстония». </w:t>
      </w:r>
      <w:r>
        <w:rPr>
          <w:sz w:val="28"/>
          <w:szCs w:val="28"/>
        </w:rPr>
        <w:t xml:space="preserve">Идеей 2-х </w:t>
      </w:r>
      <w:r>
        <w:rPr>
          <w:sz w:val="28"/>
          <w:szCs w:val="28"/>
          <w:lang w:bidi="hi-IN"/>
        </w:rPr>
        <w:t xml:space="preserve">проектов является приведение в порядок существующей инфраструктуры прибрежной зоны р. Плюсса и парка у памятника Славы для развития предпринимательства в сфере предоставления досуговых услуг, общественного питания, народных промыслов, а также развития водного туризма. В 2019 году заключено партнерское соглашение с </w:t>
      </w:r>
      <w:r>
        <w:rPr>
          <w:sz w:val="28"/>
          <w:szCs w:val="28"/>
        </w:rPr>
        <w:t xml:space="preserve">Департаментом развития и экономики города Нарвы о реализации проекта по благоустройству </w:t>
      </w:r>
      <w:r>
        <w:rPr>
          <w:sz w:val="28"/>
          <w:szCs w:val="28"/>
          <w:lang w:bidi="hi-IN"/>
        </w:rPr>
        <w:t>прибрежной зоны р. Плюсса.</w:t>
      </w:r>
    </w:p>
    <w:p>
      <w:pPr>
        <w:pStyle w:val="ListParagraph"/>
        <w:numPr>
          <w:ilvl w:val="0"/>
          <w:numId w:val="1"/>
        </w:numPr>
        <w:suppressAutoHyphens w:val="false"/>
        <w:ind w:left="0" w:firstLine="709"/>
        <w:jc w:val="both"/>
        <w:rPr>
          <w:sz w:val="28"/>
          <w:szCs w:val="28"/>
          <w:lang w:bidi="hi-IN"/>
        </w:rPr>
      </w:pPr>
      <w:r>
        <w:rPr>
          <w:sz w:val="28"/>
          <w:szCs w:val="28"/>
          <w:lang w:bidi="hi-IN"/>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муниципальный район для размещения производств и ведения предпринимательской деятельности.</w:t>
      </w:r>
    </w:p>
    <w:p>
      <w:pPr>
        <w:pStyle w:val="Normal"/>
        <w:ind w:firstLine="709"/>
        <w:jc w:val="both"/>
        <w:rPr/>
      </w:pPr>
      <w:r>
        <w:rPr>
          <w:sz w:val="28"/>
          <w:szCs w:val="28"/>
        </w:rPr>
        <w:t>Администрация активно взаимодействует с потенциальными инвесторами. В настоящее время есть обращения инвесторов, планирующих вести бизнес на территории Сланцевского района. К сожалению, далеко не всех инвесторов привлекает географическое расположение Сланцевского района в связи со значительной удаленностью от мегаполиса – Санкт-Петербурга. Кроме этого, не все инвесторы имеют достаточно проработанные проекты и необходимые финансовые ресурсы.</w:t>
      </w:r>
    </w:p>
    <w:p>
      <w:pPr>
        <w:pStyle w:val="095"/>
        <w:tabs>
          <w:tab w:val="left" w:pos="944" w:leader="none"/>
        </w:tabs>
        <w:ind w:left="44" w:hanging="0"/>
        <w:jc w:val="center"/>
        <w:rPr/>
      </w:pPr>
      <w:r>
        <w:rPr>
          <w:rFonts w:cs="Times New Roman"/>
          <w:b/>
          <w:bCs/>
          <w:sz w:val="28"/>
          <w:szCs w:val="28"/>
        </w:rPr>
        <w:t>Дорожная деятельность и безопасность дорожного движения</w:t>
      </w:r>
    </w:p>
    <w:p>
      <w:pPr>
        <w:pStyle w:val="Normal"/>
        <w:numPr>
          <w:ilvl w:val="2"/>
          <w:numId w:val="1"/>
        </w:numPr>
        <w:ind w:left="720" w:hanging="11"/>
        <w:rPr/>
      </w:pPr>
      <w:r>
        <w:rPr>
          <w:rFonts w:cs="Times New Roman"/>
          <w:bCs/>
          <w:sz w:val="28"/>
          <w:szCs w:val="28"/>
          <w:u w:val="single"/>
        </w:rPr>
        <w:t>Содержание и текущий ремонт автомобильных дорог:</w:t>
      </w:r>
    </w:p>
    <w:p>
      <w:pPr>
        <w:pStyle w:val="Normal"/>
        <w:numPr>
          <w:ilvl w:val="3"/>
          <w:numId w:val="1"/>
        </w:numPr>
        <w:ind w:left="-75" w:firstLine="784"/>
        <w:jc w:val="both"/>
        <w:rPr>
          <w:sz w:val="28"/>
          <w:szCs w:val="28"/>
        </w:rPr>
      </w:pPr>
      <w:r>
        <w:rPr>
          <w:sz w:val="28"/>
          <w:szCs w:val="28"/>
        </w:rPr>
        <w:t xml:space="preserve">Содержание и текущий ремонт автомобильных дорог общего пользования местного значения Сланцевского городского поселения осуществлялось за счет средств местного бюджета в рамках исполнения муниципального контракта по содержанию территории общего пользования Сланцевского городского поселения. В 2019 году на реализацию данных работ израсходовано 41 183,9 тыс. руб.   </w:t>
      </w:r>
    </w:p>
    <w:p>
      <w:pPr>
        <w:pStyle w:val="Normal"/>
        <w:numPr>
          <w:ilvl w:val="4"/>
          <w:numId w:val="1"/>
        </w:numPr>
        <w:ind w:left="0" w:firstLine="784"/>
        <w:jc w:val="both"/>
        <w:rPr>
          <w:sz w:val="28"/>
          <w:szCs w:val="28"/>
        </w:rPr>
      </w:pPr>
      <w:r>
        <w:rPr>
          <w:sz w:val="28"/>
          <w:szCs w:val="28"/>
        </w:rPr>
        <w:t xml:space="preserve">В 2020 году на эти цели планируется направить порядка 42 000,0 тыс. руб. </w:t>
      </w:r>
    </w:p>
    <w:p>
      <w:pPr>
        <w:pStyle w:val="Normal"/>
        <w:numPr>
          <w:ilvl w:val="4"/>
          <w:numId w:val="1"/>
        </w:numPr>
        <w:ind w:left="0" w:firstLine="926"/>
        <w:jc w:val="both"/>
        <w:rPr>
          <w:rFonts w:eastAsia="Times New Roman"/>
          <w:sz w:val="28"/>
          <w:szCs w:val="28"/>
        </w:rPr>
      </w:pPr>
      <w:r>
        <w:rPr>
          <w:rFonts w:eastAsia="Times New Roman"/>
          <w:sz w:val="28"/>
          <w:szCs w:val="28"/>
        </w:rPr>
        <w:t>В рамках исполнения областного закона Ленинградской области от 14.12.2012 № 95-оз "О содействии развитию на части территории муниципальных образований Ленинградской области иных форм местного самоуправления" продолжались работы по ремонту участка автомобильной дороги, расположенной в границах населенного пункта деревня Сижно. Общая площадь выполненных работ составила 1910 м</w:t>
      </w:r>
      <w:r>
        <w:rPr>
          <w:rFonts w:eastAsia="Times New Roman"/>
          <w:sz w:val="28"/>
          <w:szCs w:val="28"/>
          <w:vertAlign w:val="superscript"/>
        </w:rPr>
        <w:t>2</w:t>
      </w:r>
      <w:r>
        <w:rPr>
          <w:rFonts w:eastAsia="Times New Roman"/>
          <w:sz w:val="28"/>
          <w:szCs w:val="28"/>
        </w:rPr>
        <w:t xml:space="preserve">. </w:t>
      </w:r>
    </w:p>
    <w:p>
      <w:pPr>
        <w:pStyle w:val="Normal"/>
        <w:numPr>
          <w:ilvl w:val="4"/>
          <w:numId w:val="1"/>
        </w:numPr>
        <w:ind w:left="0" w:firstLine="926"/>
        <w:jc w:val="both"/>
        <w:rPr>
          <w:rFonts w:eastAsia="Times New Roman"/>
          <w:sz w:val="28"/>
          <w:szCs w:val="28"/>
        </w:rPr>
      </w:pPr>
      <w:r>
        <w:rPr>
          <w:rFonts w:eastAsia="Times New Roman"/>
          <w:sz w:val="28"/>
          <w:szCs w:val="28"/>
        </w:rPr>
        <w:t>В рамках исполнения областного закона Ленинградской области от</w:t>
      </w:r>
      <w:r>
        <w:rPr>
          <w:rFonts w:eastAsia="Times New Roman"/>
          <w:smallCaps/>
          <w:sz w:val="28"/>
          <w:szCs w:val="28"/>
        </w:rPr>
        <w:t xml:space="preserve"> </w:t>
      </w:r>
      <w:r>
        <w:rPr>
          <w:rFonts w:eastAsia="Times New Roman"/>
          <w:sz w:val="28"/>
          <w:szCs w:val="28"/>
        </w:rPr>
        <w:t>15.01.2018 № 3-оз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выполнены работы по ремонту тротуара, расположенного по ул. Гагарина в г. Сланцы. Общая площадь выполненных работ составила 1470 м</w:t>
      </w:r>
      <w:r>
        <w:rPr>
          <w:rFonts w:eastAsia="Times New Roman"/>
          <w:sz w:val="28"/>
          <w:szCs w:val="28"/>
          <w:vertAlign w:val="superscript"/>
        </w:rPr>
        <w:t>2</w:t>
      </w:r>
      <w:r>
        <w:rPr>
          <w:rFonts w:eastAsia="Times New Roman"/>
          <w:sz w:val="28"/>
          <w:szCs w:val="28"/>
        </w:rPr>
        <w:t xml:space="preserve">. </w:t>
      </w:r>
    </w:p>
    <w:p>
      <w:pPr>
        <w:pStyle w:val="Normal"/>
        <w:numPr>
          <w:ilvl w:val="0"/>
          <w:numId w:val="1"/>
        </w:numPr>
        <w:ind w:left="0" w:firstLine="709"/>
        <w:jc w:val="both"/>
        <w:rPr>
          <w:rFonts w:cs="Times New Roman"/>
          <w:sz w:val="28"/>
          <w:szCs w:val="28"/>
        </w:rPr>
      </w:pPr>
      <w:r>
        <w:rPr>
          <w:rFonts w:cs="Times New Roman"/>
          <w:sz w:val="28"/>
          <w:szCs w:val="28"/>
          <w:u w:val="single"/>
        </w:rPr>
        <w:t>Капитальный ремонт дорог общего пользования местного значения</w:t>
      </w:r>
      <w:r>
        <w:rPr>
          <w:rFonts w:cs="Times New Roman"/>
          <w:sz w:val="28"/>
          <w:szCs w:val="28"/>
        </w:rPr>
        <w:t>:</w:t>
      </w:r>
    </w:p>
    <w:p>
      <w:pPr>
        <w:pStyle w:val="Normal"/>
        <w:numPr>
          <w:ilvl w:val="0"/>
          <w:numId w:val="1"/>
        </w:numPr>
        <w:ind w:left="0" w:firstLine="709"/>
        <w:jc w:val="both"/>
        <w:rPr>
          <w:rFonts w:cs="Times New Roman"/>
          <w:sz w:val="28"/>
          <w:szCs w:val="28"/>
        </w:rPr>
      </w:pPr>
      <w:r>
        <w:rPr>
          <w:rFonts w:cs="Times New Roman"/>
          <w:sz w:val="28"/>
          <w:szCs w:val="28"/>
        </w:rPr>
        <w:t>В течение 2019 года за счет средств местного бюджета и субсидий из областного бюджета выполнен ремонт дорог общего пользования местного значения по следующим объектам:</w:t>
      </w:r>
    </w:p>
    <w:p>
      <w:pPr>
        <w:pStyle w:val="Normal"/>
        <w:numPr>
          <w:ilvl w:val="0"/>
          <w:numId w:val="1"/>
        </w:numPr>
        <w:ind w:left="0" w:firstLine="709"/>
        <w:jc w:val="both"/>
        <w:rPr>
          <w:rFonts w:cs="Times New Roman"/>
          <w:sz w:val="28"/>
          <w:szCs w:val="28"/>
        </w:rPr>
      </w:pPr>
      <w:r>
        <w:rPr>
          <w:rFonts w:cs="Times New Roman"/>
          <w:sz w:val="28"/>
          <w:szCs w:val="28"/>
        </w:rPr>
        <w:t xml:space="preserve">- ремонт дороги общего пользования местного значения подъезд к дер. Куклина гора Сланцевского муниципального района. Стоимость - 257 191,00 рублей, площадь покрытия из щебня - 777 м2; </w:t>
      </w:r>
    </w:p>
    <w:p>
      <w:pPr>
        <w:pStyle w:val="Normal"/>
        <w:numPr>
          <w:ilvl w:val="0"/>
          <w:numId w:val="1"/>
        </w:numPr>
        <w:ind w:left="0" w:firstLine="709"/>
        <w:jc w:val="both"/>
        <w:rPr>
          <w:rFonts w:cs="Times New Roman"/>
          <w:sz w:val="28"/>
          <w:szCs w:val="28"/>
        </w:rPr>
      </w:pPr>
      <w:r>
        <w:rPr>
          <w:rFonts w:cs="Times New Roman"/>
          <w:sz w:val="28"/>
          <w:szCs w:val="28"/>
        </w:rPr>
        <w:t>- ремонт дороги общего пользования местного значения подъезд к дер. Бор Сланцевского муниципального района. Стоимость –438 210,71 рублей, площадь покрытия из щебня - 1325 м2;</w:t>
      </w:r>
    </w:p>
    <w:p>
      <w:pPr>
        <w:pStyle w:val="Normal"/>
        <w:numPr>
          <w:ilvl w:val="0"/>
          <w:numId w:val="1"/>
        </w:numPr>
        <w:ind w:left="0" w:firstLine="709"/>
        <w:jc w:val="both"/>
        <w:rPr>
          <w:rFonts w:cs="Times New Roman"/>
          <w:sz w:val="28"/>
          <w:szCs w:val="28"/>
        </w:rPr>
      </w:pPr>
      <w:r>
        <w:rPr>
          <w:rFonts w:cs="Times New Roman"/>
          <w:sz w:val="28"/>
          <w:szCs w:val="28"/>
        </w:rPr>
        <w:t>- ремонт дороги общего пользования местного значения подъезд к дер. Рожновье Сланцевского муниципального района». Стоимость –289 088,91 рублей, площадь покрытия из щебня - 624 м2.</w:t>
      </w:r>
    </w:p>
    <w:p>
      <w:pPr>
        <w:pStyle w:val="Normal"/>
        <w:numPr>
          <w:ilvl w:val="0"/>
          <w:numId w:val="1"/>
        </w:numPr>
        <w:ind w:left="0" w:firstLine="709"/>
        <w:jc w:val="both"/>
        <w:rPr>
          <w:rFonts w:cs="Times New Roman"/>
          <w:sz w:val="28"/>
          <w:szCs w:val="28"/>
        </w:rPr>
      </w:pPr>
      <w:r>
        <w:rPr>
          <w:rFonts w:cs="Times New Roman"/>
          <w:sz w:val="28"/>
          <w:szCs w:val="28"/>
        </w:rPr>
        <w:t xml:space="preserve">- </w:t>
      </w:r>
      <w:r>
        <w:rPr>
          <w:sz w:val="28"/>
          <w:szCs w:val="28"/>
        </w:rPr>
        <w:t xml:space="preserve">ремонт асфальтобетонного покрытия дороги общего пользования местного значения на ул. Грибоедова (участок от ул. Кирова до ул. Партизанская) в г. Сланцы Ленинградской области. </w:t>
      </w:r>
      <w:r>
        <w:rPr>
          <w:rFonts w:cs="Times New Roman"/>
          <w:sz w:val="28"/>
          <w:szCs w:val="28"/>
        </w:rPr>
        <w:t>Стоимость – 1 674 600,86 рублей, площадь асфальтобетонного покрытия- 2 130 м2;</w:t>
      </w:r>
    </w:p>
    <w:p>
      <w:pPr>
        <w:pStyle w:val="Normal"/>
        <w:numPr>
          <w:ilvl w:val="0"/>
          <w:numId w:val="1"/>
        </w:numPr>
        <w:ind w:left="0" w:firstLine="709"/>
        <w:jc w:val="both"/>
        <w:rPr>
          <w:rFonts w:cs="Times New Roman"/>
          <w:sz w:val="28"/>
          <w:szCs w:val="28"/>
        </w:rPr>
      </w:pPr>
      <w:r>
        <w:rPr>
          <w:rFonts w:cs="Times New Roman"/>
          <w:sz w:val="28"/>
          <w:szCs w:val="28"/>
        </w:rPr>
        <w:t>- ремонт асфальтобетонного покрытия дороги общего пользования местного значения на ул. Комсомольское шоссе (участок от ПК0+0 до ПК27+75,68) в г. Сланцы Ленинградской области. Стоимость – 30 155 866,00 рублей, площадь асфальтобетонного покрытия - 26 604 м2;</w:t>
      </w:r>
    </w:p>
    <w:p>
      <w:pPr>
        <w:pStyle w:val="Normal"/>
        <w:numPr>
          <w:ilvl w:val="0"/>
          <w:numId w:val="1"/>
        </w:numPr>
        <w:ind w:left="0" w:firstLine="709"/>
        <w:jc w:val="both"/>
        <w:rPr>
          <w:rFonts w:cs="Times New Roman"/>
          <w:sz w:val="28"/>
          <w:szCs w:val="28"/>
        </w:rPr>
      </w:pPr>
      <w:r>
        <w:rPr>
          <w:sz w:val="28"/>
          <w:szCs w:val="28"/>
        </w:rPr>
        <w:t>- ремонт асфальтобетонного покрытия дороги общего пользования местного значения на ул. Комсомольское шоссе (участок от ПК39+24,35 до ПК47+51,39) в г. Сланцы Ленинградской области.</w:t>
      </w:r>
      <w:r>
        <w:rPr>
          <w:rFonts w:cs="Times New Roman"/>
          <w:sz w:val="28"/>
          <w:szCs w:val="28"/>
        </w:rPr>
        <w:t xml:space="preserve"> Стоимость – 11 588 765,34  рублей, площадь асфальтобетонного покрытия - 9 074 м2;</w:t>
      </w:r>
    </w:p>
    <w:p>
      <w:pPr>
        <w:pStyle w:val="Normal"/>
        <w:numPr>
          <w:ilvl w:val="0"/>
          <w:numId w:val="1"/>
        </w:numPr>
        <w:ind w:left="0" w:firstLine="709"/>
        <w:jc w:val="both"/>
        <w:rPr>
          <w:rFonts w:cs="Times New Roman"/>
          <w:sz w:val="28"/>
          <w:szCs w:val="28"/>
        </w:rPr>
      </w:pPr>
      <w:r>
        <w:rPr>
          <w:sz w:val="28"/>
          <w:szCs w:val="28"/>
        </w:rPr>
        <w:t>- ремонт пешеходного тротуара на ул. Грибоедова (участок от ул. Кирова до ул.Партизанская) в г. Сланцы Ленинградской области.</w:t>
      </w:r>
      <w:r>
        <w:rPr>
          <w:rFonts w:cs="Times New Roman"/>
          <w:sz w:val="28"/>
          <w:szCs w:val="28"/>
        </w:rPr>
        <w:t xml:space="preserve"> Стоимость – 690 768,11 рублей, площадь асфальтобетонного покрытия- 490 м2;</w:t>
      </w:r>
    </w:p>
    <w:p>
      <w:pPr>
        <w:pStyle w:val="Normal"/>
        <w:numPr>
          <w:ilvl w:val="0"/>
          <w:numId w:val="1"/>
        </w:numPr>
        <w:ind w:left="0" w:firstLine="709"/>
        <w:jc w:val="both"/>
        <w:rPr>
          <w:rFonts w:cs="Times New Roman"/>
          <w:sz w:val="28"/>
          <w:szCs w:val="28"/>
        </w:rPr>
      </w:pPr>
      <w:r>
        <w:rPr>
          <w:rFonts w:cs="Times New Roman"/>
          <w:sz w:val="28"/>
          <w:szCs w:val="28"/>
        </w:rPr>
        <w:t>- ремонт дороги общего пользования местного значения к д. Сижно в г. Сланцы Ленинградской области. Стоимость – 9 976 874,00 рублей, площадь асфальтобетонного покрытия- 8 966 м2;</w:t>
      </w:r>
    </w:p>
    <w:p>
      <w:pPr>
        <w:pStyle w:val="Normal"/>
        <w:numPr>
          <w:ilvl w:val="0"/>
          <w:numId w:val="1"/>
        </w:numPr>
        <w:ind w:left="0" w:firstLine="709"/>
        <w:jc w:val="both"/>
        <w:rPr>
          <w:rFonts w:cs="Times New Roman"/>
          <w:sz w:val="28"/>
          <w:szCs w:val="28"/>
        </w:rPr>
      </w:pPr>
      <w:r>
        <w:rPr>
          <w:sz w:val="28"/>
          <w:szCs w:val="28"/>
        </w:rPr>
        <w:t>- ремонт дороги общего пользования местного значения в д. Сижно в г. Сланцы Ленинградской области.</w:t>
      </w:r>
      <w:r>
        <w:rPr>
          <w:rFonts w:cs="Times New Roman"/>
          <w:sz w:val="28"/>
          <w:szCs w:val="28"/>
        </w:rPr>
        <w:t xml:space="preserve"> Стоимость – 1 255 410,00 рублей, площадь асфальтобетонного покрытия - 1 910 м2;</w:t>
      </w:r>
    </w:p>
    <w:p>
      <w:pPr>
        <w:pStyle w:val="Normal"/>
        <w:numPr>
          <w:ilvl w:val="0"/>
          <w:numId w:val="1"/>
        </w:numPr>
        <w:ind w:left="0" w:firstLine="709"/>
        <w:jc w:val="both"/>
        <w:rPr>
          <w:rFonts w:cs="Times New Roman"/>
          <w:sz w:val="28"/>
          <w:szCs w:val="28"/>
        </w:rPr>
      </w:pPr>
      <w:r>
        <w:rPr>
          <w:sz w:val="28"/>
          <w:szCs w:val="28"/>
        </w:rPr>
        <w:t>- ремонт дорог общего пользования местного значения на ул. Свободы в г. Сланцы Ленинградской области.</w:t>
      </w:r>
      <w:r>
        <w:rPr>
          <w:rFonts w:cs="Times New Roman"/>
          <w:sz w:val="28"/>
          <w:szCs w:val="28"/>
        </w:rPr>
        <w:t xml:space="preserve"> Стоимость – 10 804 044,00 рублей, площадь асфальтобетонного покрытия - 7 940 м2.</w:t>
      </w:r>
    </w:p>
    <w:p>
      <w:pPr>
        <w:pStyle w:val="Normal"/>
        <w:numPr>
          <w:ilvl w:val="4"/>
          <w:numId w:val="1"/>
        </w:numPr>
        <w:ind w:left="0" w:firstLine="567"/>
        <w:jc w:val="both"/>
        <w:rPr>
          <w:sz w:val="28"/>
          <w:szCs w:val="28"/>
          <w:highlight w:val="yellow"/>
        </w:rPr>
      </w:pPr>
      <w:r>
        <w:rPr>
          <w:sz w:val="28"/>
          <w:szCs w:val="28"/>
          <w:highlight w:val="yellow"/>
        </w:rPr>
      </w:r>
    </w:p>
    <w:p>
      <w:pPr>
        <w:pStyle w:val="Normal"/>
        <w:numPr>
          <w:ilvl w:val="2"/>
          <w:numId w:val="1"/>
        </w:numPr>
        <w:ind w:left="0" w:firstLine="709"/>
        <w:jc w:val="both"/>
        <w:rPr>
          <w:rFonts w:cs="Times New Roman"/>
          <w:bCs/>
          <w:sz w:val="28"/>
          <w:szCs w:val="28"/>
          <w:u w:val="single"/>
        </w:rPr>
      </w:pPr>
      <w:r>
        <w:rPr>
          <w:rFonts w:cs="Times New Roman"/>
          <w:bCs/>
          <w:sz w:val="28"/>
          <w:szCs w:val="28"/>
          <w:u w:val="single"/>
        </w:rPr>
        <w:t>Обеспечения безопасности дорожного движения на автомобильных дорогах.</w:t>
      </w:r>
    </w:p>
    <w:p>
      <w:pPr>
        <w:pStyle w:val="Normal"/>
        <w:ind w:firstLine="709"/>
        <w:jc w:val="both"/>
        <w:rPr>
          <w:sz w:val="28"/>
          <w:szCs w:val="28"/>
        </w:rPr>
      </w:pPr>
      <w:r>
        <w:rPr>
          <w:sz w:val="28"/>
          <w:szCs w:val="28"/>
        </w:rPr>
        <w:t>В рамках обеспечения безопасности дорожного движения на автомобильных дорогах общего пользования местного значения проводились следующие работы:</w:t>
      </w:r>
    </w:p>
    <w:p>
      <w:pPr>
        <w:pStyle w:val="Normal"/>
        <w:ind w:firstLine="709"/>
        <w:jc w:val="both"/>
        <w:rPr>
          <w:sz w:val="28"/>
          <w:szCs w:val="28"/>
        </w:rPr>
      </w:pPr>
      <w:r>
        <w:rPr>
          <w:sz w:val="28"/>
          <w:szCs w:val="28"/>
        </w:rPr>
        <w:t>- установка дорожных знаков постоянной дислокации;</w:t>
      </w:r>
    </w:p>
    <w:p>
      <w:pPr>
        <w:pStyle w:val="Normal"/>
        <w:ind w:firstLine="709"/>
        <w:jc w:val="both"/>
        <w:rPr>
          <w:sz w:val="28"/>
          <w:szCs w:val="28"/>
        </w:rPr>
      </w:pPr>
      <w:r>
        <w:rPr>
          <w:sz w:val="28"/>
          <w:szCs w:val="28"/>
        </w:rPr>
        <w:t>- нанесение горизонтальной дорожной разметки, в том числе с применением технологии холодного пластика;</w:t>
      </w:r>
    </w:p>
    <w:p>
      <w:pPr>
        <w:pStyle w:val="Normal"/>
        <w:ind w:firstLine="709"/>
        <w:jc w:val="both"/>
        <w:rPr>
          <w:sz w:val="28"/>
          <w:szCs w:val="28"/>
        </w:rPr>
      </w:pPr>
      <w:r>
        <w:rPr>
          <w:sz w:val="28"/>
          <w:szCs w:val="28"/>
        </w:rPr>
        <w:t>- содержание технических средств организации дорожного движения (светофорных объектов);</w:t>
      </w:r>
    </w:p>
    <w:p>
      <w:pPr>
        <w:pStyle w:val="Normal"/>
        <w:ind w:firstLine="709"/>
        <w:jc w:val="both"/>
        <w:rPr>
          <w:sz w:val="28"/>
          <w:szCs w:val="28"/>
        </w:rPr>
      </w:pPr>
      <w:r>
        <w:rPr>
          <w:sz w:val="28"/>
          <w:szCs w:val="28"/>
        </w:rPr>
        <w:t>- разработка проекта строительства светофорного объекта на перекрестке автомобильных дорог общего пользования местного значения по ул. Привокзальная/ул. Первостроителей/Сланцевское шоссе/ул. Поселковая в г. Сланцы;</w:t>
      </w:r>
    </w:p>
    <w:p>
      <w:pPr>
        <w:pStyle w:val="Normal"/>
        <w:ind w:firstLine="851"/>
        <w:jc w:val="both"/>
        <w:rPr>
          <w:sz w:val="28"/>
          <w:szCs w:val="28"/>
        </w:rPr>
      </w:pPr>
      <w:r>
        <w:rPr>
          <w:sz w:val="28"/>
          <w:szCs w:val="28"/>
        </w:rPr>
        <w:t>- разработка комплексной схемы организации дорожного движения на территории муниципального образования Сланцевское городское поселение;</w:t>
      </w:r>
    </w:p>
    <w:p>
      <w:pPr>
        <w:pStyle w:val="Normal"/>
        <w:ind w:firstLine="851"/>
        <w:jc w:val="both"/>
        <w:rPr>
          <w:sz w:val="28"/>
          <w:szCs w:val="28"/>
        </w:rPr>
      </w:pPr>
      <w:r>
        <w:rPr>
          <w:sz w:val="28"/>
          <w:szCs w:val="28"/>
        </w:rPr>
        <w:t>Разработана и утверждена</w:t>
      </w:r>
      <w:r>
        <w:rPr>
          <w:color w:val="000000"/>
          <w:sz w:val="28"/>
          <w:szCs w:val="28"/>
        </w:rPr>
        <w:t xml:space="preserve"> муниципальная программа «Формирование законопослушного поведения участников дорожного движения в </w:t>
      </w:r>
      <w:r>
        <w:rPr>
          <w:sz w:val="28"/>
          <w:szCs w:val="28"/>
        </w:rPr>
        <w:t>муниципальном образовании Сланцевское городское поселение Сланцевского муниципального района Ленинградской области» на 2019-2025 годы.</w:t>
      </w:r>
    </w:p>
    <w:p>
      <w:pPr>
        <w:pStyle w:val="Normal"/>
        <w:ind w:firstLine="709"/>
        <w:jc w:val="both"/>
        <w:rPr>
          <w:sz w:val="28"/>
          <w:szCs w:val="28"/>
        </w:rPr>
      </w:pPr>
      <w:r>
        <w:rPr>
          <w:iCs/>
          <w:color w:val="000000"/>
          <w:sz w:val="28"/>
          <w:szCs w:val="28"/>
        </w:rPr>
        <w:t xml:space="preserve">Общая стоимость работ по </w:t>
      </w:r>
      <w:r>
        <w:rPr>
          <w:sz w:val="28"/>
          <w:szCs w:val="28"/>
        </w:rPr>
        <w:t xml:space="preserve">обеспечению безопасности дорожного движения составила 4 500,0 тыс. руб.   </w:t>
      </w:r>
    </w:p>
    <w:p>
      <w:pPr>
        <w:pStyle w:val="Normal"/>
        <w:ind w:firstLine="709"/>
        <w:jc w:val="both"/>
        <w:rPr/>
      </w:pPr>
      <w:r>
        <w:rPr>
          <w:sz w:val="28"/>
          <w:szCs w:val="28"/>
        </w:rPr>
        <w:t xml:space="preserve">В текущем году работы по обеспечению безопасности дорожного движения будут продолжены. </w:t>
      </w:r>
    </w:p>
    <w:p>
      <w:pPr>
        <w:pStyle w:val="095"/>
        <w:widowControl/>
        <w:tabs>
          <w:tab w:val="left" w:pos="15" w:leader="none"/>
        </w:tabs>
        <w:ind w:left="15" w:firstLine="691"/>
        <w:jc w:val="center"/>
        <w:rPr/>
      </w:pPr>
      <w:r>
        <w:rPr>
          <w:rStyle w:val="FontStyle13"/>
          <w:rFonts w:cs="Times New Roman"/>
          <w:b/>
          <w:bCs/>
          <w:sz w:val="28"/>
          <w:szCs w:val="28"/>
          <w:lang w:eastAsia="ar-SA" w:bidi="ar-SA"/>
        </w:rPr>
        <w:t>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widowControl/>
        <w:tabs>
          <w:tab w:val="left" w:pos="420" w:leader="none"/>
        </w:tabs>
        <w:ind w:firstLine="851"/>
        <w:jc w:val="both"/>
        <w:rPr/>
      </w:pPr>
      <w:r>
        <w:rPr>
          <w:sz w:val="28"/>
          <w:szCs w:val="28"/>
          <w:lang w:eastAsia="ar-SA" w:bidi="ar-SA"/>
        </w:rPr>
        <w:t>С целью улучшения транспортного обслуживания населения г. Сланцы, были установлены 19 остановочных павильонов</w:t>
      </w:r>
      <w:r>
        <w:rPr>
          <w:color w:val="000000"/>
          <w:sz w:val="28"/>
          <w:szCs w:val="28"/>
          <w:lang w:eastAsia="ar-SA" w:bidi="ar-SA"/>
        </w:rPr>
        <w:t xml:space="preserve"> на остановочных пунктах городского пассажирского транспорта г. Сланцы (ул. Кирова, Комсомольское шоссе, ул. Привокзальная, ул. Дзержинского, ул. ДОК, ул. Дорожная).</w:t>
      </w:r>
    </w:p>
    <w:p>
      <w:pPr>
        <w:pStyle w:val="Normal"/>
        <w:widowControl/>
        <w:tabs>
          <w:tab w:val="left" w:pos="944" w:leader="none"/>
        </w:tabs>
        <w:ind w:left="44" w:firstLine="807"/>
        <w:jc w:val="both"/>
        <w:rPr>
          <w:sz w:val="28"/>
          <w:szCs w:val="28"/>
          <w:lang w:eastAsia="ar-SA" w:bidi="ar-SA"/>
        </w:rPr>
      </w:pPr>
      <w:r>
        <w:rPr>
          <w:sz w:val="28"/>
          <w:szCs w:val="28"/>
          <w:lang w:eastAsia="ar-SA" w:bidi="ar-SA"/>
        </w:rPr>
        <w:t xml:space="preserve">Осуществление пассажирских перевозок на городских автобусных маршрутах Сланцевского городского поселения в 2019 году осуществлялось </w:t>
      </w:r>
      <w:r>
        <w:rPr>
          <w:sz w:val="28"/>
          <w:szCs w:val="28"/>
          <w:shd w:fill="FFFFFF" w:val="clear"/>
          <w:lang w:eastAsia="ar-SA" w:bidi="ar-SA"/>
        </w:rPr>
        <w:t>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pPr>
        <w:pStyle w:val="Normal"/>
        <w:widowControl/>
        <w:tabs>
          <w:tab w:val="left" w:pos="944" w:leader="none"/>
        </w:tabs>
        <w:ind w:left="44" w:firstLine="807"/>
        <w:jc w:val="both"/>
        <w:rPr>
          <w:sz w:val="28"/>
          <w:szCs w:val="28"/>
          <w:lang w:eastAsia="ar-SA" w:bidi="ar-SA"/>
        </w:rPr>
      </w:pPr>
      <w:r>
        <w:rPr>
          <w:sz w:val="28"/>
          <w:szCs w:val="28"/>
          <w:lang w:eastAsia="ar-SA" w:bidi="ar-SA"/>
        </w:rPr>
        <w:t xml:space="preserve">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 </w:t>
      </w:r>
    </w:p>
    <w:p>
      <w:pPr>
        <w:pStyle w:val="Normal"/>
        <w:widowControl/>
        <w:tabs>
          <w:tab w:val="left" w:pos="944" w:leader="none"/>
        </w:tabs>
        <w:ind w:left="44" w:firstLine="807"/>
        <w:jc w:val="both"/>
        <w:rPr>
          <w:sz w:val="28"/>
          <w:szCs w:val="28"/>
        </w:rPr>
      </w:pPr>
      <w:r>
        <w:rPr>
          <w:sz w:val="28"/>
          <w:szCs w:val="28"/>
          <w:lang w:eastAsia="ar-SA" w:bidi="ar-SA"/>
        </w:rPr>
        <w:t>Объём пассажиропотока за 2019 год по данным автобусным маршрутам составил около 2 100 тыс. человек.</w:t>
      </w:r>
    </w:p>
    <w:p>
      <w:pPr>
        <w:pStyle w:val="095"/>
        <w:widowControl/>
        <w:tabs>
          <w:tab w:val="left" w:pos="944" w:leader="none"/>
        </w:tabs>
        <w:ind w:left="44" w:hanging="44"/>
        <w:jc w:val="center"/>
        <w:rPr/>
      </w:pPr>
      <w:r>
        <w:rPr>
          <w:rFonts w:cs="Times New Roman"/>
          <w:b/>
          <w:sz w:val="28"/>
          <w:szCs w:val="28"/>
        </w:rPr>
        <w:t>Тепло-, водоснабжение и водоотведение</w:t>
      </w:r>
    </w:p>
    <w:p>
      <w:pPr>
        <w:pStyle w:val="095"/>
        <w:shd w:val="clear" w:color="auto" w:fill="FFFFFF"/>
        <w:tabs>
          <w:tab w:val="left" w:pos="944" w:leader="none"/>
        </w:tabs>
        <w:ind w:firstLine="625"/>
        <w:rPr/>
      </w:pPr>
      <w:r>
        <w:rPr>
          <w:b/>
          <w:sz w:val="28"/>
          <w:szCs w:val="28"/>
          <w:shd w:fill="FFFFFF" w:val="clear"/>
        </w:rPr>
        <w:t>На территории Сланцевского городского поселения</w:t>
      </w:r>
      <w:r>
        <w:rPr>
          <w:rStyle w:val="FontStyle13"/>
          <w:sz w:val="28"/>
          <w:szCs w:val="28"/>
          <w:shd w:fill="FFFFFF" w:val="clear"/>
          <w:lang w:eastAsia="ar-SA" w:bidi="ar-SA"/>
        </w:rPr>
        <w:t>жилищно- коммунальные услуги населению в течение 2019 года оказывали:</w:t>
      </w:r>
    </w:p>
    <w:p>
      <w:pPr>
        <w:pStyle w:val="Normal"/>
        <w:numPr>
          <w:ilvl w:val="0"/>
          <w:numId w:val="3"/>
        </w:numPr>
        <w:tabs>
          <w:tab w:val="left" w:pos="600" w:leader="none"/>
          <w:tab w:val="left" w:pos="993" w:leader="none"/>
        </w:tabs>
        <w:ind w:left="0" w:firstLine="625"/>
        <w:jc w:val="both"/>
        <w:rPr>
          <w:rStyle w:val="FontStyle13"/>
          <w:sz w:val="28"/>
          <w:szCs w:val="28"/>
          <w:highlight w:val="white"/>
          <w:lang w:eastAsia="ar-SA" w:bidi="ar-SA"/>
        </w:rPr>
      </w:pPr>
      <w:r>
        <w:rPr>
          <w:rStyle w:val="FontStyle13"/>
          <w:sz w:val="28"/>
          <w:szCs w:val="28"/>
          <w:shd w:fill="FFFFFF" w:val="clear"/>
          <w:lang w:eastAsia="ar-SA" w:bidi="ar-SA"/>
        </w:rPr>
        <w:t>в сфере водоснабжения -</w:t>
      </w:r>
      <w:r>
        <w:rPr>
          <w:rStyle w:val="FontStyle13"/>
          <w:color w:val="000000"/>
          <w:sz w:val="28"/>
          <w:szCs w:val="28"/>
          <w:shd w:fill="FFFFFF" w:val="clear"/>
          <w:lang w:eastAsia="ar-SA" w:bidi="ar-SA"/>
        </w:rPr>
        <w:t xml:space="preserve"> ГУП «Леноблв</w:t>
      </w:r>
      <w:r>
        <w:rPr>
          <w:rStyle w:val="FontStyle13"/>
          <w:sz w:val="28"/>
          <w:szCs w:val="28"/>
          <w:shd w:fill="FFFFFF" w:val="clear"/>
          <w:lang w:eastAsia="ar-SA" w:bidi="ar-SA"/>
        </w:rPr>
        <w:t xml:space="preserve">одоканал»; </w:t>
      </w:r>
    </w:p>
    <w:p>
      <w:pPr>
        <w:pStyle w:val="Normal"/>
        <w:numPr>
          <w:ilvl w:val="0"/>
          <w:numId w:val="3"/>
        </w:numPr>
        <w:tabs>
          <w:tab w:val="left" w:pos="600" w:leader="none"/>
          <w:tab w:val="left" w:pos="993" w:leader="none"/>
        </w:tabs>
        <w:ind w:left="0" w:firstLine="625"/>
        <w:jc w:val="both"/>
        <w:rPr>
          <w:rStyle w:val="FontStyle13"/>
          <w:sz w:val="28"/>
          <w:szCs w:val="28"/>
          <w:highlight w:val="white"/>
          <w:lang w:eastAsia="ar-SA" w:bidi="ar-SA"/>
        </w:rPr>
      </w:pPr>
      <w:r>
        <w:rPr>
          <w:rStyle w:val="FontStyle13"/>
          <w:sz w:val="28"/>
          <w:szCs w:val="28"/>
          <w:shd w:fill="FFFFFF" w:val="clear"/>
          <w:lang w:eastAsia="ar-SA" w:bidi="ar-SA"/>
        </w:rPr>
        <w:t>в сфере теплоснабжения - филиал АО «Нева Энергия»  в г. Сланцы;</w:t>
      </w:r>
    </w:p>
    <w:p>
      <w:pPr>
        <w:pStyle w:val="Normal"/>
        <w:numPr>
          <w:ilvl w:val="0"/>
          <w:numId w:val="3"/>
        </w:numPr>
        <w:tabs>
          <w:tab w:val="left" w:pos="600" w:leader="none"/>
          <w:tab w:val="left" w:pos="993" w:leader="none"/>
        </w:tabs>
        <w:ind w:left="0" w:firstLine="625"/>
        <w:jc w:val="both"/>
        <w:rPr>
          <w:rStyle w:val="FontStyle13"/>
          <w:sz w:val="28"/>
          <w:szCs w:val="28"/>
          <w:highlight w:val="white"/>
          <w:lang w:eastAsia="ar-SA" w:bidi="ar-SA"/>
        </w:rPr>
      </w:pPr>
      <w:r>
        <w:rPr>
          <w:rStyle w:val="FontStyle13"/>
          <w:sz w:val="28"/>
          <w:szCs w:val="28"/>
          <w:shd w:fill="FFFFFF" w:val="clear"/>
          <w:lang w:eastAsia="ar-SA" w:bidi="ar-SA"/>
        </w:rPr>
        <w:t>в сфере электроснабжения - филиал АО «ЛОЭСК» «Западные электрические сети», ПАО «Ленэнерго», АО «ПСК», ООО «РКС-энерго» Кингисеппское отделение;</w:t>
      </w:r>
    </w:p>
    <w:p>
      <w:pPr>
        <w:pStyle w:val="Normal"/>
        <w:numPr>
          <w:ilvl w:val="0"/>
          <w:numId w:val="3"/>
        </w:numPr>
        <w:tabs>
          <w:tab w:val="left" w:pos="600" w:leader="none"/>
          <w:tab w:val="left" w:pos="993" w:leader="none"/>
        </w:tabs>
        <w:ind w:left="0" w:firstLine="625"/>
        <w:jc w:val="both"/>
        <w:rPr>
          <w:rStyle w:val="FontStyle13"/>
          <w:sz w:val="28"/>
          <w:szCs w:val="28"/>
          <w:highlight w:val="white"/>
          <w:lang w:eastAsia="ar-SA" w:bidi="ar-SA"/>
        </w:rPr>
      </w:pPr>
      <w:r>
        <w:rPr>
          <w:rStyle w:val="FontStyle13"/>
          <w:sz w:val="28"/>
          <w:szCs w:val="28"/>
          <w:shd w:fill="FFFFFF" w:val="clear"/>
          <w:lang w:eastAsia="ar-SA" w:bidi="ar-SA"/>
        </w:rPr>
        <w:t>в сфере газоснабжения - филиал АО «Газпром газораспределение Ленинградской области» в г. Кингисеппе, ООО «Газпром межрегионгаз Санкт-Петербург» в Ленинградской области, ООО «ЛОГазинвест».</w:t>
      </w:r>
    </w:p>
    <w:p>
      <w:pPr>
        <w:pStyle w:val="Normal"/>
        <w:shd w:val="clear" w:color="auto" w:fill="FFFFFF"/>
        <w:ind w:firstLine="709"/>
        <w:jc w:val="both"/>
        <w:rPr>
          <w:highlight w:val="white"/>
        </w:rPr>
      </w:pPr>
      <w:r>
        <w:rPr>
          <w:rStyle w:val="FontStyle13"/>
          <w:sz w:val="28"/>
          <w:szCs w:val="28"/>
          <w:shd w:fill="FFFFFF" w:val="clear"/>
          <w:lang w:eastAsia="ar-SA" w:bidi="ar-SA"/>
        </w:rPr>
        <w:t>Также на территории Сланцевского городского поселения осуществляют деятельность 7 управляющих компаний, 3 жилищно-строительных кооператива (ЖСК), 2 товарищества собственников недвижимости (ТСН).</w:t>
      </w:r>
    </w:p>
    <w:p>
      <w:pPr>
        <w:pStyle w:val="095"/>
        <w:tabs>
          <w:tab w:val="left" w:pos="944" w:leader="none"/>
        </w:tabs>
        <w:ind w:firstLine="625"/>
        <w:rPr>
          <w:rStyle w:val="FontStyle13"/>
          <w:sz w:val="28"/>
          <w:szCs w:val="28"/>
          <w:lang w:eastAsia="ar-SA" w:bidi="ar-SA"/>
        </w:rPr>
      </w:pPr>
      <w:r>
        <w:rPr>
          <w:b/>
          <w:sz w:val="28"/>
          <w:szCs w:val="28"/>
        </w:rPr>
        <w:t xml:space="preserve">На территории </w:t>
      </w:r>
      <w:r>
        <w:rPr>
          <w:rStyle w:val="FontStyle13"/>
          <w:b/>
          <w:sz w:val="28"/>
          <w:szCs w:val="28"/>
          <w:lang w:eastAsia="ar-SA" w:bidi="ar-SA"/>
        </w:rPr>
        <w:t>сельских поселений Сланцевского муниципального района</w:t>
      </w:r>
      <w:r>
        <w:rPr>
          <w:rStyle w:val="FontStyle13"/>
          <w:sz w:val="28"/>
          <w:szCs w:val="28"/>
          <w:lang w:eastAsia="ar-SA" w:bidi="ar-SA"/>
        </w:rPr>
        <w:t xml:space="preserve">: </w:t>
      </w:r>
    </w:p>
    <w:p>
      <w:pPr>
        <w:pStyle w:val="Normal"/>
        <w:numPr>
          <w:ilvl w:val="0"/>
          <w:numId w:val="3"/>
        </w:numPr>
        <w:tabs>
          <w:tab w:val="left" w:pos="627" w:leader="none"/>
          <w:tab w:val="left" w:pos="993" w:leader="none"/>
        </w:tabs>
        <w:ind w:left="27" w:firstLine="625"/>
        <w:jc w:val="both"/>
        <w:rPr>
          <w:rStyle w:val="FontStyle13"/>
          <w:sz w:val="28"/>
          <w:szCs w:val="28"/>
          <w:lang w:eastAsia="ar-SA" w:bidi="ar-SA"/>
        </w:rPr>
      </w:pPr>
      <w:r>
        <w:rPr>
          <w:rStyle w:val="FontStyle13"/>
          <w:sz w:val="28"/>
          <w:szCs w:val="28"/>
          <w:lang w:eastAsia="ar-SA" w:bidi="ar-SA"/>
        </w:rPr>
        <w:t xml:space="preserve">в сфере водоснабжения и водоотведения </w:t>
      </w:r>
      <w:r>
        <w:rPr>
          <w:rStyle w:val="FontStyle13"/>
          <w:sz w:val="28"/>
          <w:szCs w:val="28"/>
          <w:shd w:fill="FFFFFF" w:val="clear"/>
          <w:lang w:eastAsia="ar-SA" w:bidi="ar-SA"/>
        </w:rPr>
        <w:t xml:space="preserve">услуги на всей территории района оказывает </w:t>
      </w:r>
      <w:r>
        <w:rPr>
          <w:rStyle w:val="FontStyle13"/>
          <w:color w:val="000000"/>
          <w:sz w:val="28"/>
          <w:szCs w:val="28"/>
          <w:shd w:fill="FFFFFF" w:val="clear"/>
          <w:lang w:eastAsia="ar-SA" w:bidi="ar-SA"/>
        </w:rPr>
        <w:t>ГУП «Леноблв</w:t>
      </w:r>
      <w:r>
        <w:rPr>
          <w:rStyle w:val="FontStyle13"/>
          <w:sz w:val="28"/>
          <w:szCs w:val="28"/>
          <w:shd w:fill="FFFFFF" w:val="clear"/>
          <w:lang w:eastAsia="ar-SA" w:bidi="ar-SA"/>
        </w:rPr>
        <w:t>одоканал»;</w:t>
      </w:r>
    </w:p>
    <w:p>
      <w:pPr>
        <w:pStyle w:val="Normal"/>
        <w:numPr>
          <w:ilvl w:val="0"/>
          <w:numId w:val="3"/>
        </w:numPr>
        <w:tabs>
          <w:tab w:val="left" w:pos="600" w:leader="none"/>
          <w:tab w:val="left" w:pos="993" w:leader="none"/>
        </w:tabs>
        <w:ind w:left="0" w:firstLine="625"/>
        <w:jc w:val="both"/>
        <w:rPr>
          <w:rStyle w:val="FontStyle13"/>
          <w:sz w:val="28"/>
          <w:szCs w:val="28"/>
          <w:lang w:eastAsia="ar-SA" w:bidi="ar-SA"/>
        </w:rPr>
      </w:pPr>
      <w:r>
        <w:rPr>
          <w:rStyle w:val="FontStyle13"/>
          <w:sz w:val="28"/>
          <w:szCs w:val="28"/>
          <w:lang w:eastAsia="ar-SA" w:bidi="ar-SA"/>
        </w:rPr>
        <w:t>в сфере теплоснабжения - ООО «Коммун Энерго», ООО «Акватерм»,  филиал АО «Газпром теплоэнерго» в Ленинградской области;</w:t>
      </w:r>
    </w:p>
    <w:p>
      <w:pPr>
        <w:pStyle w:val="Normal"/>
        <w:numPr>
          <w:ilvl w:val="0"/>
          <w:numId w:val="3"/>
        </w:numPr>
        <w:tabs>
          <w:tab w:val="left" w:pos="600" w:leader="none"/>
          <w:tab w:val="left" w:pos="993" w:leader="none"/>
        </w:tabs>
        <w:ind w:left="0" w:firstLine="625"/>
        <w:jc w:val="both"/>
        <w:rPr>
          <w:rStyle w:val="FontStyle13"/>
          <w:sz w:val="28"/>
          <w:szCs w:val="28"/>
          <w:lang w:eastAsia="ar-SA" w:bidi="ar-SA"/>
        </w:rPr>
      </w:pPr>
      <w:r>
        <w:rPr>
          <w:rStyle w:val="FontStyle13"/>
          <w:sz w:val="28"/>
          <w:szCs w:val="28"/>
          <w:lang w:eastAsia="ar-SA" w:bidi="ar-SA"/>
        </w:rPr>
        <w:t>в сфере электроснабжения - филиал ОАО «Ленэнерго», ОАО «Петербургская сбытовая компания»;</w:t>
      </w:r>
    </w:p>
    <w:p>
      <w:pPr>
        <w:pStyle w:val="Normal"/>
        <w:numPr>
          <w:ilvl w:val="0"/>
          <w:numId w:val="3"/>
        </w:numPr>
        <w:tabs>
          <w:tab w:val="left" w:pos="600" w:leader="none"/>
          <w:tab w:val="left" w:pos="993" w:leader="none"/>
        </w:tabs>
        <w:ind w:left="0" w:firstLine="625"/>
        <w:jc w:val="both"/>
        <w:rPr>
          <w:rStyle w:val="FontStyle13"/>
          <w:sz w:val="28"/>
          <w:szCs w:val="28"/>
          <w:lang w:eastAsia="ar-SA" w:bidi="ar-SA"/>
        </w:rPr>
      </w:pPr>
      <w:r>
        <w:rPr>
          <w:rStyle w:val="FontStyle13"/>
          <w:sz w:val="28"/>
          <w:szCs w:val="28"/>
          <w:lang w:eastAsia="ar-SA" w:bidi="ar-SA"/>
        </w:rPr>
        <w:t>в сфере газоснабжения - филиал АО «Газпром газораспределение Ленинградской области» в г. Кингисеппе, ООО «Газпром межрегионгаз Санкт-Петербург» в Ленинградской области, ООО «ЛОГазинвест».</w:t>
      </w:r>
    </w:p>
    <w:p>
      <w:pPr>
        <w:pStyle w:val="Normal"/>
        <w:tabs>
          <w:tab w:val="left" w:pos="600" w:leader="none"/>
        </w:tabs>
        <w:ind w:firstLine="709"/>
        <w:jc w:val="both"/>
        <w:rPr/>
      </w:pPr>
      <w:r>
        <w:rPr>
          <w:rStyle w:val="FontStyle13"/>
          <w:sz w:val="28"/>
          <w:szCs w:val="28"/>
          <w:lang w:eastAsia="ar-SA" w:bidi="ar-SA"/>
        </w:rPr>
        <w:t>На территории сельских поселений Сланцевского муниципального района осуществляют деятельность 2 управляющих компании, 4 товарищества собственников жилья (ТСЖ).</w:t>
      </w:r>
    </w:p>
    <w:p>
      <w:pPr>
        <w:pStyle w:val="PlainText"/>
        <w:ind w:firstLine="600"/>
        <w:jc w:val="both"/>
        <w:rPr>
          <w:rFonts w:ascii="Times New Roman" w:hAnsi="Times New Roman"/>
          <w:sz w:val="28"/>
          <w:szCs w:val="28"/>
        </w:rPr>
      </w:pPr>
      <w:r>
        <w:rPr>
          <w:rFonts w:ascii="Times New Roman" w:hAnsi="Times New Roman"/>
          <w:sz w:val="28"/>
          <w:szCs w:val="28"/>
        </w:rPr>
        <w:t>За счет средств местного бюджета и субсидий из областного бюджета в 2019 году АО «Нева Энергия» были выполнены работы по повышению  надежности и энергетической  эффективности  при   транспортировке теплоносителя по магистральной теплотрассе Ду 300мм на участке от ТЭЦ бойлерной "А" до ТК-1  по улице Свободы (мкрн. Б. Лучки) г. Сланцы путем замены минераловатной изоляции на изоляцию пенополиуретаном методом заливки на сумму 24 038 757,00 рублей. Длина участков изолируемых трубопроводов -  2 603,0 м.п. (в 2 нити).</w:t>
      </w:r>
    </w:p>
    <w:p>
      <w:pPr>
        <w:pStyle w:val="Normal"/>
        <w:jc w:val="center"/>
        <w:rPr/>
      </w:pPr>
      <w:r>
        <w:rPr>
          <w:rFonts w:cs="Times New Roman"/>
          <w:b/>
          <w:bCs/>
          <w:sz w:val="28"/>
          <w:szCs w:val="28"/>
        </w:rPr>
        <w:t>Строительство и архитектура</w:t>
      </w:r>
    </w:p>
    <w:p>
      <w:pPr>
        <w:pStyle w:val="Normal"/>
        <w:ind w:firstLine="709"/>
        <w:jc w:val="both"/>
        <w:rPr/>
      </w:pPr>
      <w:r>
        <w:rPr>
          <w:sz w:val="28"/>
          <w:szCs w:val="28"/>
        </w:rPr>
        <w:t>В рамках заключенного муниципального контракта</w:t>
      </w:r>
      <w:r>
        <w:rPr>
          <w:color w:val="000000"/>
          <w:sz w:val="28"/>
          <w:szCs w:val="28"/>
        </w:rPr>
        <w:t xml:space="preserve"> от 16.07.2018 № 1000207</w:t>
      </w:r>
      <w:r>
        <w:rPr>
          <w:rFonts w:cs="Times New Roman"/>
          <w:sz w:val="28"/>
          <w:szCs w:val="28"/>
        </w:rPr>
        <w:t xml:space="preserve">ведутся работы по строительству </w:t>
      </w:r>
      <w:r>
        <w:rPr>
          <w:rFonts w:cs="Times New Roman"/>
          <w:color w:val="000000"/>
          <w:sz w:val="28"/>
          <w:szCs w:val="28"/>
        </w:rPr>
        <w:t>объекта«Строительство физкультурно-оздоровительного комплекса на территории спортивной площадки школы №3 и спортивной площадки на месте незавершенного строительством объекта «Бассейн при школе №12 в г. Сланцы, ул. Грибоедова, д.19а».</w:t>
      </w:r>
      <w:r>
        <w:rPr>
          <w:rFonts w:cs="Times New Roman"/>
          <w:sz w:val="28"/>
          <w:szCs w:val="28"/>
        </w:rPr>
        <w:t xml:space="preserve"> Выполнено строительно-монтажных работ на сумму 53 045,6 тыс. рублей.</w:t>
      </w:r>
    </w:p>
    <w:p>
      <w:pPr>
        <w:pStyle w:val="Normal"/>
        <w:spacing w:lineRule="atLeast" w:line="100"/>
        <w:ind w:firstLine="709"/>
        <w:jc w:val="both"/>
        <w:rPr>
          <w:rStyle w:val="Style12"/>
          <w:rFonts w:cs="Arial"/>
          <w:i w:val="false"/>
          <w:i w:val="false"/>
          <w:iCs/>
          <w:sz w:val="28"/>
          <w:szCs w:val="28"/>
        </w:rPr>
      </w:pPr>
      <w:r>
        <w:rPr>
          <w:rStyle w:val="Style12"/>
          <w:rFonts w:cs="Times New Roman CYR"/>
          <w:i w:val="false"/>
          <w:iCs/>
          <w:color w:val="000000"/>
          <w:spacing w:val="-1"/>
          <w:sz w:val="28"/>
          <w:szCs w:val="28"/>
        </w:rPr>
        <w:t xml:space="preserve">В </w:t>
      </w:r>
      <w:r>
        <w:rPr>
          <w:rStyle w:val="Style12"/>
          <w:rFonts w:cs="Arial"/>
          <w:i w:val="false"/>
          <w:iCs/>
          <w:sz w:val="28"/>
          <w:szCs w:val="28"/>
        </w:rPr>
        <w:t>2019 году были выданы разрешения на строительство:</w:t>
      </w:r>
    </w:p>
    <w:p>
      <w:pPr>
        <w:pStyle w:val="Normal"/>
        <w:spacing w:lineRule="atLeast" w:line="100"/>
        <w:jc w:val="both"/>
        <w:rPr>
          <w:rStyle w:val="Style12"/>
          <w:rFonts w:cs="Arial"/>
          <w:i w:val="false"/>
          <w:i w:val="false"/>
          <w:iCs/>
          <w:sz w:val="28"/>
          <w:szCs w:val="28"/>
        </w:rPr>
      </w:pPr>
      <w:r>
        <w:rPr>
          <w:rStyle w:val="Style12"/>
          <w:rFonts w:cs="Arial"/>
          <w:i w:val="false"/>
          <w:iCs/>
          <w:sz w:val="28"/>
          <w:szCs w:val="28"/>
        </w:rPr>
        <w:t>- предприятие по розливу артезианской питьевой воды (Горбунов В.В.);</w:t>
      </w:r>
    </w:p>
    <w:p>
      <w:pPr>
        <w:pStyle w:val="Normal"/>
        <w:spacing w:lineRule="atLeast" w:line="100"/>
        <w:jc w:val="both"/>
        <w:rPr>
          <w:rStyle w:val="Style12"/>
          <w:rFonts w:cs="Arial"/>
          <w:i w:val="false"/>
          <w:i w:val="false"/>
          <w:iCs/>
          <w:sz w:val="28"/>
          <w:szCs w:val="28"/>
        </w:rPr>
      </w:pPr>
      <w:r>
        <w:rPr>
          <w:rStyle w:val="Style12"/>
          <w:rFonts w:cs="Arial"/>
          <w:i w:val="false"/>
          <w:iCs/>
          <w:sz w:val="28"/>
          <w:szCs w:val="28"/>
        </w:rPr>
        <w:t>- завод по производству торрефицированныхпеллет мощностью 60000 тонн/год (ООО «ИСК-Энерго»);</w:t>
      </w:r>
    </w:p>
    <w:p>
      <w:pPr>
        <w:pStyle w:val="Normal"/>
        <w:spacing w:lineRule="atLeast" w:line="100"/>
        <w:jc w:val="both"/>
        <w:rPr>
          <w:rStyle w:val="Style12"/>
          <w:rFonts w:cs="Arial"/>
          <w:i w:val="false"/>
          <w:i w:val="false"/>
          <w:iCs/>
          <w:sz w:val="28"/>
          <w:szCs w:val="28"/>
        </w:rPr>
      </w:pPr>
      <w:r>
        <w:rPr>
          <w:rStyle w:val="Style12"/>
          <w:rFonts w:cs="Arial"/>
          <w:i w:val="false"/>
          <w:iCs/>
          <w:sz w:val="28"/>
          <w:szCs w:val="28"/>
        </w:rPr>
        <w:t>- дом рыбака в д. Скамья (АО «Электронстандарт»).</w:t>
      </w:r>
    </w:p>
    <w:p>
      <w:pPr>
        <w:pStyle w:val="Normal"/>
        <w:spacing w:lineRule="atLeast" w:line="100"/>
        <w:ind w:firstLine="709"/>
        <w:jc w:val="both"/>
        <w:rPr>
          <w:rStyle w:val="Style12"/>
          <w:rFonts w:cs="Arial"/>
          <w:i w:val="false"/>
          <w:i w:val="false"/>
          <w:iCs/>
          <w:sz w:val="28"/>
          <w:szCs w:val="28"/>
        </w:rPr>
      </w:pPr>
      <w:r>
        <w:rPr>
          <w:rStyle w:val="Style12"/>
          <w:rFonts w:cs="Arial"/>
          <w:i w:val="false"/>
          <w:iCs/>
          <w:sz w:val="28"/>
          <w:szCs w:val="28"/>
        </w:rPr>
        <w:t>Для проектирования строительства объектов на территории Сланцевского муниципального района были разработаны и зарегистрированы в комитете Госстройнадзора 7 градостроительных планов.</w:t>
      </w:r>
    </w:p>
    <w:p>
      <w:pPr>
        <w:pStyle w:val="Normal"/>
        <w:spacing w:lineRule="atLeast" w:line="100"/>
        <w:ind w:firstLine="709"/>
        <w:jc w:val="both"/>
        <w:rPr>
          <w:rStyle w:val="Style12"/>
          <w:rFonts w:cs="Arial"/>
          <w:i w:val="false"/>
          <w:i w:val="false"/>
          <w:iCs/>
          <w:sz w:val="28"/>
          <w:szCs w:val="28"/>
        </w:rPr>
      </w:pPr>
      <w:r>
        <w:rPr>
          <w:rStyle w:val="Style12"/>
          <w:rFonts w:cs="Arial"/>
          <w:i w:val="false"/>
          <w:iCs/>
          <w:sz w:val="28"/>
          <w:szCs w:val="28"/>
        </w:rPr>
        <w:t>Подготовлено 86 Уведомлений о планируемом строительстве индивидуальных жилых и садовых домов, 46объектов поставлено на государственный кадастровый учет и зарегистрировано право в ЕГРН, общей площадью 4171,2кв.м., выдано два Акта освидетельствования работ по строительству индивидуальных жилых домов на средства «материнского капитала».</w:t>
      </w:r>
    </w:p>
    <w:p>
      <w:pPr>
        <w:pStyle w:val="Normal"/>
        <w:spacing w:lineRule="atLeast" w:line="100"/>
        <w:ind w:firstLine="709"/>
        <w:jc w:val="both"/>
        <w:rPr>
          <w:rStyle w:val="Style12"/>
          <w:rFonts w:cs="Times New Roman CYR"/>
          <w:i w:val="false"/>
          <w:i w:val="false"/>
          <w:iCs/>
          <w:color w:val="000000"/>
          <w:spacing w:val="-1"/>
          <w:sz w:val="28"/>
          <w:szCs w:val="28"/>
        </w:rPr>
      </w:pPr>
      <w:r>
        <w:rPr>
          <w:rStyle w:val="Style12"/>
          <w:rFonts w:cs="Times New Roman CYR"/>
          <w:i w:val="false"/>
          <w:iCs/>
          <w:color w:val="000000"/>
          <w:spacing w:val="-1"/>
          <w:sz w:val="28"/>
          <w:szCs w:val="28"/>
        </w:rPr>
        <w:t xml:space="preserve">В области территориального планирования одним из основных документов поселения является генеральный план, который утверждается на срок не менее чем 20 лет. Целью генерального плана является </w:t>
      </w:r>
      <w:r>
        <w:rPr>
          <w:sz w:val="28"/>
          <w:szCs w:val="28"/>
        </w:rPr>
        <w:t>обеспечения устойчивого развития различных секторов экономики, повышение уровня жизни и условий проживания населения, сохранение и приумножение всех ресурсов. Несмотря на то, что генеральные планы поселений утверждены менее 10 лет назад, п</w:t>
      </w:r>
      <w:r>
        <w:rPr>
          <w:rStyle w:val="Style12"/>
          <w:rFonts w:cs="Times New Roman CYR"/>
          <w:i w:val="false"/>
          <w:iCs/>
          <w:color w:val="000000"/>
          <w:spacing w:val="-1"/>
          <w:sz w:val="28"/>
          <w:szCs w:val="28"/>
        </w:rPr>
        <w:t xml:space="preserve">оявление новых предложений от инвесторов о развитии территорий Сланцевского района, требуют внесения изменений в документы территориального планирования, т.к. от планировочной структуры, функционального и градостроительного зонирования территории поселений зависят вопросы размещения объектов капитального строительства местного и регионального значения. </w:t>
      </w:r>
    </w:p>
    <w:p>
      <w:pPr>
        <w:pStyle w:val="Normal"/>
        <w:spacing w:lineRule="atLeast" w:line="100"/>
        <w:ind w:firstLine="709"/>
        <w:jc w:val="both"/>
        <w:rPr>
          <w:rStyle w:val="Style12"/>
          <w:rFonts w:cs="Arial"/>
          <w:i w:val="false"/>
          <w:i w:val="false"/>
          <w:iCs/>
          <w:sz w:val="28"/>
          <w:szCs w:val="28"/>
        </w:rPr>
      </w:pPr>
      <w:r>
        <w:rPr>
          <w:rStyle w:val="Style12"/>
          <w:rFonts w:cs="Times New Roman CYR"/>
          <w:i w:val="false"/>
          <w:iCs/>
          <w:color w:val="000000"/>
          <w:spacing w:val="-1"/>
          <w:sz w:val="28"/>
          <w:szCs w:val="28"/>
        </w:rPr>
        <w:t xml:space="preserve">Для повышения инвестиционной привлекательности </w:t>
      </w:r>
      <w:r>
        <w:rPr>
          <w:sz w:val="28"/>
          <w:szCs w:val="28"/>
        </w:rPr>
        <w:t>в</w:t>
      </w:r>
      <w:r>
        <w:rPr>
          <w:rStyle w:val="Style12"/>
          <w:rFonts w:cs="Times New Roman CYR"/>
          <w:i w:val="false"/>
          <w:iCs/>
          <w:color w:val="000000"/>
          <w:spacing w:val="-1"/>
          <w:sz w:val="28"/>
          <w:szCs w:val="28"/>
        </w:rPr>
        <w:t xml:space="preserve"> 2019 году начаты работы по внесению изменений в генеральный план и правила землепользования и застройки Сланцевского городского поселения. Работы планируется закончить в 2020 году</w:t>
      </w:r>
      <w:r>
        <w:rPr>
          <w:rStyle w:val="Style12"/>
          <w:rFonts w:cs="Arial"/>
          <w:i w:val="false"/>
          <w:iCs/>
          <w:sz w:val="28"/>
          <w:szCs w:val="28"/>
        </w:rPr>
        <w:t>.</w:t>
      </w:r>
    </w:p>
    <w:p>
      <w:pPr>
        <w:pStyle w:val="Normal"/>
        <w:spacing w:lineRule="atLeast" w:line="100"/>
        <w:ind w:firstLine="709"/>
        <w:jc w:val="both"/>
        <w:rPr>
          <w:rStyle w:val="Style12"/>
          <w:rFonts w:cs="Times New Roman CYR"/>
          <w:i w:val="false"/>
          <w:i w:val="false"/>
          <w:iCs/>
          <w:color w:val="000000"/>
          <w:spacing w:val="-1"/>
          <w:sz w:val="28"/>
          <w:szCs w:val="28"/>
        </w:rPr>
      </w:pPr>
      <w:r>
        <w:rPr>
          <w:rStyle w:val="Style12"/>
          <w:rFonts w:cs="Arial"/>
          <w:i w:val="false"/>
          <w:iCs/>
          <w:sz w:val="28"/>
          <w:szCs w:val="28"/>
        </w:rPr>
        <w:t xml:space="preserve">В рамках реализации целевых моделей </w:t>
      </w:r>
      <w:r>
        <w:rPr>
          <w:rStyle w:val="Style12"/>
          <w:rFonts w:cs="Times New Roman CYR"/>
          <w:i w:val="false"/>
          <w:iCs/>
          <w:color w:val="000000"/>
          <w:spacing w:val="-1"/>
          <w:sz w:val="28"/>
          <w:szCs w:val="28"/>
        </w:rPr>
        <w:t>«Получение разрешения на строительство и территориальное планирование» и «Постановка на кадастровый учет земельных участков и объектов недвижимости»</w:t>
      </w:r>
      <w:r>
        <w:rPr>
          <w:rStyle w:val="Style12"/>
          <w:rFonts w:cs="Arial"/>
          <w:i w:val="false"/>
          <w:iCs/>
          <w:sz w:val="28"/>
          <w:szCs w:val="28"/>
        </w:rPr>
        <w:t>, установленных р</w:t>
      </w:r>
      <w:r>
        <w:rPr>
          <w:rStyle w:val="Style12"/>
          <w:rFonts w:cs="Times New Roman CYR"/>
          <w:i w:val="false"/>
          <w:iCs/>
          <w:color w:val="000000"/>
          <w:spacing w:val="-1"/>
          <w:sz w:val="28"/>
          <w:szCs w:val="28"/>
        </w:rPr>
        <w:t>аспоряжением Правительства Российской Федерации от 31.01.2017 № 147-р «Об утверждении целевых моделей упрощения процедур ведения бизнеса и повышения инвестиционной привлекательности субъектов Российской Федерации», администрацией Сланцевского муниципального района проведена значительная работа, по результатам которой, Сланцевский район достиг 2-го места попоказателю «Доля территориальных зон, сведения о границах которых внесены в Единый государственный реестр недвижимости» и 4-го места по показателю «Доля населенных пунктов сведения о границах которых внесены в Единый государственный реестр недвижимости» среди районов Ленинградской области. Работы будут продолжены в 2020.</w:t>
      </w:r>
    </w:p>
    <w:p>
      <w:pPr>
        <w:pStyle w:val="Normal"/>
        <w:spacing w:lineRule="atLeast" w:line="100"/>
        <w:ind w:firstLine="709"/>
        <w:jc w:val="both"/>
        <w:rPr>
          <w:rStyle w:val="Style12"/>
          <w:rFonts w:cs="Arial"/>
          <w:i w:val="false"/>
          <w:i w:val="false"/>
          <w:iCs/>
          <w:sz w:val="28"/>
          <w:szCs w:val="28"/>
        </w:rPr>
      </w:pPr>
      <w:r>
        <w:rPr>
          <w:rStyle w:val="Style12"/>
          <w:rFonts w:cs="Arial"/>
          <w:i w:val="false"/>
          <w:iCs/>
          <w:sz w:val="28"/>
          <w:szCs w:val="28"/>
        </w:rPr>
        <w:t xml:space="preserve">В программном комплексе «Фонд пространственных данных» на геоинформационной платформе Ленинградской области проведены работы по координатной привязке всех адресных сведений, вносимых в государственный адресный реестр при помощи федеральной адресной системы (ФИАС) для обеспечения вызова экстренных оперативных служб по единому номеру «112». Кроме этого, в государственной информационной системе ведется размещение материалов инженерных изысканий, которые используются, в том числе, для формирования государственных информационных систем обеспечения градостроительной деятельности. </w:t>
      </w:r>
    </w:p>
    <w:p>
      <w:pPr>
        <w:pStyle w:val="Normal"/>
        <w:spacing w:lineRule="atLeast" w:line="100"/>
        <w:ind w:firstLine="709"/>
        <w:jc w:val="both"/>
        <w:rPr>
          <w:rStyle w:val="Style12"/>
          <w:rFonts w:cs="Arial"/>
          <w:i w:val="false"/>
          <w:i w:val="false"/>
          <w:iCs/>
          <w:sz w:val="28"/>
          <w:szCs w:val="28"/>
        </w:rPr>
      </w:pPr>
      <w:r>
        <w:rPr>
          <w:rStyle w:val="Style12"/>
          <w:rFonts w:cs="Arial"/>
          <w:i w:val="false"/>
          <w:iCs/>
          <w:sz w:val="28"/>
          <w:szCs w:val="28"/>
        </w:rPr>
        <w:t xml:space="preserve">Был инициирован опрос граждан по выбору наименований вновь образованным улицам, сформированным земельными участками, предоставленным многодетным семьям в районе бывшего аэродрома. В первую очередь рассматривались предложения по выбору наименований с целью сохранения исторической памяти в ознаменование 75-ой годовщины Победы в Великой Отечественной Войне 1941-1945 г.г., а также увековечивания памяти имен героев защищавших Сланцевский район.  </w:t>
      </w:r>
    </w:p>
    <w:p>
      <w:pPr>
        <w:pStyle w:val="Normal"/>
        <w:spacing w:lineRule="atLeast" w:line="100"/>
        <w:ind w:firstLine="709"/>
        <w:jc w:val="both"/>
        <w:rPr>
          <w:rStyle w:val="Style12"/>
          <w:rFonts w:cs="Arial"/>
          <w:i w:val="false"/>
          <w:i w:val="false"/>
          <w:iCs/>
          <w:sz w:val="28"/>
          <w:szCs w:val="28"/>
        </w:rPr>
      </w:pPr>
      <w:r>
        <w:rPr>
          <w:rStyle w:val="Style12"/>
          <w:rFonts w:cs="Arial"/>
          <w:i w:val="false"/>
          <w:iCs/>
          <w:sz w:val="28"/>
          <w:szCs w:val="28"/>
        </w:rPr>
        <w:t>Рассмотрено2 проекта перевода из жилого в нежилое помещение, согласован - 1, принято в эксплуатацию после перевода - 1 помещение. Согласовано – 19 документов на переустройство и перепланировку помещений в многоквартирных жилых домах, принято в эксплуатацию - 19помещений. Подготовлено – 6 предписаний об устранении незаконной перепланировки.</w:t>
      </w:r>
    </w:p>
    <w:p>
      <w:pPr>
        <w:pStyle w:val="Normal"/>
        <w:spacing w:lineRule="atLeast" w:line="100"/>
        <w:ind w:firstLine="709"/>
        <w:jc w:val="both"/>
        <w:rPr>
          <w:rStyle w:val="Style12"/>
          <w:rFonts w:cs="Arial"/>
          <w:i w:val="false"/>
          <w:i w:val="false"/>
          <w:iCs/>
          <w:sz w:val="28"/>
          <w:szCs w:val="28"/>
        </w:rPr>
      </w:pPr>
      <w:r>
        <w:rPr>
          <w:rStyle w:val="Style12"/>
          <w:rFonts w:cs="Arial"/>
          <w:i w:val="false"/>
          <w:iCs/>
          <w:sz w:val="28"/>
          <w:szCs w:val="28"/>
        </w:rPr>
        <w:t>Выдано 5 разрешений на установку рекламных конструкций, подготовлено 20 разрешений на установку вывесок, выдано 20 предписаний на устранение нарушений по установленным вывескам. Регулярно заносятся сведения по платежам за установленные рекламные конструкции в ГИС ГМП.</w:t>
      </w:r>
    </w:p>
    <w:p>
      <w:pPr>
        <w:pStyle w:val="Normal"/>
        <w:spacing w:lineRule="atLeast" w:line="100"/>
        <w:ind w:firstLine="709"/>
        <w:jc w:val="both"/>
        <w:rPr>
          <w:rStyle w:val="Style12"/>
          <w:rFonts w:cs="Arial"/>
          <w:i w:val="false"/>
          <w:i w:val="false"/>
          <w:iCs/>
          <w:sz w:val="28"/>
          <w:szCs w:val="28"/>
        </w:rPr>
      </w:pPr>
      <w:r>
        <w:rPr>
          <w:rStyle w:val="Style12"/>
          <w:rFonts w:cs="Arial"/>
          <w:i w:val="false"/>
          <w:iCs/>
          <w:sz w:val="28"/>
          <w:szCs w:val="28"/>
        </w:rPr>
        <w:t>В целях реализации программы развития комфортной городской среды подготовлено 4 проекта (схемы, обмерочные чертежи, дизайн-проекты, прайсы, визуализация проектов) на территории по адресам: ул. Грибоедова 14, 16, 18, ул. Грибоедова 16, ул. Кирова 14, ул. Дзержинского 21, 23.</w:t>
      </w:r>
    </w:p>
    <w:p>
      <w:pPr>
        <w:pStyle w:val="Normal"/>
        <w:spacing w:lineRule="atLeast" w:line="100"/>
        <w:jc w:val="both"/>
        <w:rPr/>
      </w:pPr>
      <w:r>
        <w:rPr>
          <w:rStyle w:val="Style12"/>
          <w:rFonts w:cs="Times New Roman CYR"/>
          <w:i w:val="false"/>
          <w:iCs/>
          <w:color w:val="000000"/>
          <w:spacing w:val="-1"/>
          <w:sz w:val="28"/>
          <w:szCs w:val="28"/>
        </w:rPr>
        <w:tab/>
        <w:t xml:space="preserve">                          </w:t>
      </w:r>
      <w:r>
        <w:rPr>
          <w:rFonts w:cs="Times New Roman"/>
          <w:b/>
          <w:bCs/>
          <w:sz w:val="28"/>
          <w:szCs w:val="28"/>
        </w:rPr>
        <w:t>Благоустройство территории</w:t>
      </w:r>
    </w:p>
    <w:p>
      <w:pPr>
        <w:pStyle w:val="Normal"/>
        <w:ind w:firstLine="709"/>
        <w:jc w:val="both"/>
        <w:rPr/>
      </w:pPr>
      <w:r>
        <w:rPr>
          <w:sz w:val="28"/>
          <w:szCs w:val="28"/>
        </w:rPr>
        <w:t xml:space="preserve">В 2019 году на содержание территорий Сланцевского муниципального района направлено  около 8 500,00 тыс. руб. бюджетных средств. </w:t>
      </w:r>
    </w:p>
    <w:p>
      <w:pPr>
        <w:pStyle w:val="Normal"/>
        <w:ind w:firstLine="709"/>
        <w:jc w:val="both"/>
        <w:rPr>
          <w:sz w:val="28"/>
          <w:szCs w:val="28"/>
        </w:rPr>
      </w:pPr>
      <w:r>
        <w:rPr>
          <w:sz w:val="28"/>
          <w:szCs w:val="28"/>
        </w:rPr>
        <w:t>Выполнялись работы по:</w:t>
      </w:r>
    </w:p>
    <w:p>
      <w:pPr>
        <w:pStyle w:val="Normal"/>
        <w:numPr>
          <w:ilvl w:val="0"/>
          <w:numId w:val="1"/>
        </w:numPr>
        <w:ind w:left="0" w:firstLine="709"/>
        <w:jc w:val="both"/>
        <w:rPr>
          <w:sz w:val="28"/>
          <w:szCs w:val="28"/>
        </w:rPr>
      </w:pPr>
      <w:r>
        <w:rPr>
          <w:sz w:val="28"/>
          <w:szCs w:val="28"/>
        </w:rPr>
        <w:t xml:space="preserve">- содержанию городских скверов, парков, аллеей; </w:t>
      </w:r>
    </w:p>
    <w:p>
      <w:pPr>
        <w:pStyle w:val="Normal"/>
        <w:numPr>
          <w:ilvl w:val="0"/>
          <w:numId w:val="1"/>
        </w:numPr>
        <w:ind w:left="0" w:firstLine="709"/>
        <w:jc w:val="both"/>
        <w:rPr>
          <w:sz w:val="28"/>
          <w:szCs w:val="28"/>
        </w:rPr>
      </w:pPr>
      <w:r>
        <w:rPr>
          <w:sz w:val="28"/>
          <w:szCs w:val="28"/>
        </w:rPr>
        <w:t>- содержанию городского кладбища в п. Сосновка;</w:t>
      </w:r>
    </w:p>
    <w:p>
      <w:pPr>
        <w:pStyle w:val="Normal"/>
        <w:numPr>
          <w:ilvl w:val="0"/>
          <w:numId w:val="1"/>
        </w:numPr>
        <w:ind w:left="0" w:firstLine="709"/>
        <w:jc w:val="both"/>
        <w:rPr>
          <w:sz w:val="28"/>
          <w:szCs w:val="28"/>
        </w:rPr>
      </w:pPr>
      <w:r>
        <w:rPr>
          <w:sz w:val="28"/>
          <w:szCs w:val="28"/>
        </w:rPr>
        <w:t xml:space="preserve">- содержанию свободных территорий Сланцевского городского поселения; </w:t>
      </w:r>
    </w:p>
    <w:p>
      <w:pPr>
        <w:pStyle w:val="Normal"/>
        <w:numPr>
          <w:ilvl w:val="0"/>
          <w:numId w:val="1"/>
        </w:numPr>
        <w:ind w:left="0" w:firstLine="709"/>
        <w:jc w:val="both"/>
        <w:rPr>
          <w:rFonts w:cs="Times New Roman"/>
          <w:sz w:val="28"/>
          <w:szCs w:val="28"/>
        </w:rPr>
      </w:pPr>
      <w:r>
        <w:rPr>
          <w:sz w:val="28"/>
          <w:szCs w:val="28"/>
        </w:rPr>
        <w:t>В рамках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были выполнены работы по благоустройству территории по адресу: от ул. Гагарина д.1 в г.Сланцы (устройство пешеходных тротуаров из брусчатки) на сумму 3 456,5 тыс. рублей. Площадь покрытия из брусчатки – 1 470 м2.</w:t>
      </w:r>
    </w:p>
    <w:p>
      <w:pPr>
        <w:pStyle w:val="PlainText"/>
        <w:numPr>
          <w:ilvl w:val="0"/>
          <w:numId w:val="1"/>
        </w:numPr>
        <w:ind w:left="0" w:firstLine="709"/>
        <w:jc w:val="both"/>
        <w:rPr>
          <w:rFonts w:ascii="Times New Roman" w:hAnsi="Times New Roman"/>
          <w:sz w:val="28"/>
          <w:szCs w:val="28"/>
        </w:rPr>
      </w:pPr>
      <w:r>
        <w:rPr>
          <w:rFonts w:ascii="Times New Roman" w:hAnsi="Times New Roman"/>
          <w:sz w:val="28"/>
          <w:szCs w:val="28"/>
        </w:rPr>
        <w:t>За счет средств областного бюджета была оборудована детская игровая площадка с установкой детского игрового комплекса по ул.Шахтерской Славы, д.7.</w:t>
      </w:r>
    </w:p>
    <w:p>
      <w:pPr>
        <w:pStyle w:val="PlainText"/>
        <w:numPr>
          <w:ilvl w:val="0"/>
          <w:numId w:val="1"/>
        </w:numPr>
        <w:ind w:left="0" w:firstLine="709"/>
        <w:jc w:val="both"/>
        <w:rPr>
          <w:rFonts w:ascii="Times New Roman" w:hAnsi="Times New Roman"/>
          <w:sz w:val="28"/>
          <w:szCs w:val="28"/>
        </w:rPr>
      </w:pPr>
      <w:r>
        <w:rPr>
          <w:rFonts w:ascii="Times New Roman" w:hAnsi="Times New Roman"/>
          <w:sz w:val="28"/>
          <w:szCs w:val="28"/>
        </w:rPr>
        <w:t>При спонсорской помощи цементного завода "ЦЕСЛА» проведены работы по устройству светодиодной конструкции «Дерево» с устройством площадки из гранитного отсева и установкой радиусных скамеек.</w:t>
      </w:r>
    </w:p>
    <w:p>
      <w:pPr>
        <w:pStyle w:val="Style18"/>
        <w:numPr>
          <w:ilvl w:val="0"/>
          <w:numId w:val="2"/>
        </w:numPr>
        <w:spacing w:before="0" w:after="0"/>
        <w:ind w:left="0" w:hanging="0"/>
        <w:jc w:val="center"/>
        <w:rPr/>
      </w:pPr>
      <w:r>
        <w:rPr>
          <w:rFonts w:cs="Times New Roman"/>
          <w:b/>
          <w:bCs/>
          <w:sz w:val="28"/>
          <w:szCs w:val="28"/>
        </w:rPr>
        <w:t>Капитальный ремонт многоквартирных домов</w:t>
      </w:r>
    </w:p>
    <w:p>
      <w:pPr>
        <w:pStyle w:val="Normal"/>
        <w:ind w:firstLine="432"/>
        <w:jc w:val="both"/>
        <w:rPr/>
      </w:pPr>
      <w:r>
        <w:rPr>
          <w:sz w:val="28"/>
          <w:szCs w:val="28"/>
        </w:rPr>
        <w:t>Региональная программа капитального ремонта общего имущества в многоквартирных домах, расположенных на территории Ленинградской области, на 2014 – 2043 годы была утверждена Постановлением Правительства региона № 508 от 26.12.13 (с измен. от 19.11.2019 №534). Цель документа – обеспечение сохранности многоквартирных домов и улучшение комфортности проживания в них граждан.</w:t>
      </w:r>
    </w:p>
    <w:p>
      <w:pPr>
        <w:pStyle w:val="Normal"/>
        <w:ind w:firstLine="432"/>
        <w:jc w:val="both"/>
        <w:rPr>
          <w:b/>
          <w:b/>
          <w:bCs/>
          <w:sz w:val="28"/>
          <w:szCs w:val="28"/>
        </w:rPr>
      </w:pPr>
      <w:r>
        <w:rPr>
          <w:sz w:val="28"/>
          <w:szCs w:val="28"/>
        </w:rPr>
        <w:t>Разработанная в Правительстве Ленинградской области долгосрочная программа капитального ремонта многоквартирных домов рассчитана на 30 лет и направлена на то, чтобы привести в нормальное состояние весь жилой фонд региона.</w:t>
      </w:r>
    </w:p>
    <w:p>
      <w:pPr>
        <w:pStyle w:val="Normal"/>
        <w:ind w:firstLine="432"/>
        <w:jc w:val="both"/>
        <w:rPr>
          <w:sz w:val="28"/>
          <w:szCs w:val="28"/>
        </w:rPr>
      </w:pPr>
      <w:r>
        <w:rPr>
          <w:b/>
          <w:bCs/>
          <w:sz w:val="28"/>
          <w:szCs w:val="28"/>
        </w:rPr>
        <w:t xml:space="preserve">В 2019 году </w:t>
      </w:r>
      <w:r>
        <w:rPr>
          <w:sz w:val="28"/>
          <w:szCs w:val="28"/>
        </w:rPr>
        <w:t xml:space="preserve">в Краткосрочный муниципальный план реализации Региональной программы капитального ремонта общего имущества МКД, расположенных на территории Сланцевского городского поселения </w:t>
      </w:r>
      <w:r>
        <w:rPr>
          <w:b/>
          <w:bCs/>
          <w:sz w:val="28"/>
          <w:szCs w:val="28"/>
        </w:rPr>
        <w:t>включено 14 МКД,</w:t>
      </w:r>
      <w:r>
        <w:rPr>
          <w:sz w:val="28"/>
          <w:szCs w:val="28"/>
        </w:rPr>
        <w:t xml:space="preserve"> из них </w:t>
      </w:r>
      <w:r>
        <w:rPr>
          <w:b/>
          <w:bCs/>
          <w:sz w:val="28"/>
          <w:szCs w:val="28"/>
        </w:rPr>
        <w:t>13 МКД на выполнение работ по внутридомовым инженерным сетям,</w:t>
      </w:r>
      <w:r>
        <w:rPr>
          <w:sz w:val="28"/>
          <w:szCs w:val="28"/>
        </w:rPr>
        <w:t xml:space="preserve">  </w:t>
      </w:r>
      <w:r>
        <w:rPr>
          <w:b/>
          <w:bCs/>
          <w:sz w:val="28"/>
          <w:szCs w:val="28"/>
        </w:rPr>
        <w:t>1 МКД на выполнение ремонта крыши.</w:t>
      </w:r>
    </w:p>
    <w:p>
      <w:pPr>
        <w:pStyle w:val="Normal"/>
        <w:ind w:firstLine="432"/>
        <w:jc w:val="both"/>
        <w:rPr>
          <w:rFonts w:cs="Times New Roman"/>
          <w:sz w:val="28"/>
          <w:szCs w:val="28"/>
        </w:rPr>
      </w:pPr>
      <w:r>
        <w:rPr>
          <w:sz w:val="28"/>
          <w:szCs w:val="28"/>
        </w:rPr>
        <w:t xml:space="preserve">По </w:t>
      </w:r>
      <w:r>
        <w:rPr>
          <w:b/>
          <w:bCs/>
          <w:sz w:val="28"/>
          <w:szCs w:val="28"/>
        </w:rPr>
        <w:t>внутридомовым инженерным сетям</w:t>
      </w:r>
      <w:r>
        <w:rPr>
          <w:sz w:val="28"/>
          <w:szCs w:val="28"/>
        </w:rPr>
        <w:t xml:space="preserve"> было выполнено </w:t>
      </w:r>
      <w:r>
        <w:rPr>
          <w:b/>
          <w:bCs/>
          <w:sz w:val="28"/>
          <w:szCs w:val="28"/>
        </w:rPr>
        <w:t>26 видов рабо</w:t>
      </w:r>
      <w:r>
        <w:rPr>
          <w:sz w:val="28"/>
          <w:szCs w:val="28"/>
        </w:rPr>
        <w:t>т в том числе в:</w:t>
      </w:r>
    </w:p>
    <w:p>
      <w:pPr>
        <w:pStyle w:val="Normal"/>
        <w:jc w:val="both"/>
        <w:rPr>
          <w:b/>
          <w:b/>
          <w:bCs/>
          <w:sz w:val="28"/>
          <w:szCs w:val="28"/>
        </w:rPr>
      </w:pPr>
      <w:r>
        <w:rPr>
          <w:rFonts w:cs="Times New Roman"/>
          <w:sz w:val="28"/>
          <w:szCs w:val="28"/>
        </w:rPr>
        <w:t xml:space="preserve"> </w:t>
      </w:r>
      <w:r>
        <w:rPr>
          <w:rFonts w:cs="Times New Roman"/>
          <w:sz w:val="28"/>
          <w:szCs w:val="28"/>
        </w:rPr>
        <w:tab/>
        <w:t xml:space="preserve"> </w:t>
      </w:r>
      <w:r>
        <w:rPr>
          <w:rFonts w:cs="Times New Roman"/>
          <w:b/>
          <w:bCs/>
          <w:sz w:val="28"/>
          <w:szCs w:val="28"/>
        </w:rPr>
        <w:t>9</w:t>
      </w:r>
      <w:r>
        <w:rPr>
          <w:b/>
          <w:bCs/>
          <w:sz w:val="28"/>
          <w:szCs w:val="28"/>
        </w:rPr>
        <w:t xml:space="preserve"> МКД</w:t>
      </w:r>
      <w:r>
        <w:rPr>
          <w:sz w:val="28"/>
          <w:szCs w:val="28"/>
        </w:rPr>
        <w:t xml:space="preserve"> - капитальный ремонт </w:t>
      </w:r>
      <w:r>
        <w:rPr>
          <w:b/>
          <w:bCs/>
          <w:sz w:val="28"/>
          <w:szCs w:val="28"/>
        </w:rPr>
        <w:t>сетей электроснабжения</w:t>
      </w:r>
      <w:r>
        <w:rPr>
          <w:sz w:val="28"/>
          <w:szCs w:val="28"/>
        </w:rPr>
        <w:t xml:space="preserve"> (ул. Кирова д. 17, ул. Ленина д. 1/1, д. 2, д. 3, д. 6, ул. Партизанская д. 7/2, ул. Спортивная д. 3, д. 7, ул. Чкалова д. 10);</w:t>
      </w:r>
    </w:p>
    <w:p>
      <w:pPr>
        <w:pStyle w:val="Normal"/>
        <w:jc w:val="both"/>
        <w:rPr>
          <w:b/>
          <w:b/>
          <w:bCs/>
          <w:sz w:val="28"/>
          <w:szCs w:val="28"/>
        </w:rPr>
      </w:pPr>
      <w:r>
        <w:rPr>
          <w:b/>
          <w:bCs/>
          <w:sz w:val="28"/>
          <w:szCs w:val="28"/>
        </w:rPr>
        <w:tab/>
        <w:t xml:space="preserve">3 МКД - </w:t>
      </w:r>
      <w:r>
        <w:rPr>
          <w:sz w:val="28"/>
          <w:szCs w:val="28"/>
        </w:rPr>
        <w:t>капитальный ремонт</w:t>
      </w:r>
      <w:r>
        <w:rPr>
          <w:b/>
          <w:bCs/>
          <w:sz w:val="28"/>
          <w:szCs w:val="28"/>
        </w:rPr>
        <w:t xml:space="preserve"> сетей теплоснабжения </w:t>
      </w:r>
      <w:r>
        <w:rPr>
          <w:sz w:val="28"/>
          <w:szCs w:val="28"/>
        </w:rPr>
        <w:t>(ул. Ленина д. 1/1, д. 6, ул. Спортивная д. 5/2)</w:t>
      </w:r>
      <w:r>
        <w:rPr>
          <w:b/>
          <w:bCs/>
          <w:sz w:val="28"/>
          <w:szCs w:val="28"/>
        </w:rPr>
        <w:t>;</w:t>
      </w:r>
    </w:p>
    <w:p>
      <w:pPr>
        <w:pStyle w:val="Normal"/>
        <w:jc w:val="both"/>
        <w:rPr>
          <w:b/>
          <w:b/>
          <w:bCs/>
          <w:sz w:val="28"/>
          <w:szCs w:val="28"/>
        </w:rPr>
      </w:pPr>
      <w:r>
        <w:rPr>
          <w:b/>
          <w:bCs/>
          <w:sz w:val="28"/>
          <w:szCs w:val="28"/>
        </w:rPr>
        <w:tab/>
        <w:t xml:space="preserve">11 МКД- </w:t>
      </w:r>
      <w:r>
        <w:rPr>
          <w:sz w:val="28"/>
          <w:szCs w:val="28"/>
        </w:rPr>
        <w:t xml:space="preserve">капитальный ремонт </w:t>
      </w:r>
      <w:r>
        <w:rPr>
          <w:b/>
          <w:bCs/>
          <w:sz w:val="28"/>
          <w:szCs w:val="28"/>
        </w:rPr>
        <w:t xml:space="preserve">сетей холодного водоснабжения </w:t>
      </w:r>
      <w:r>
        <w:rPr>
          <w:sz w:val="28"/>
          <w:szCs w:val="28"/>
        </w:rPr>
        <w:t>(ул. Ленина д.1/1, д. 10, д. 2, д. 3, д. 6, ул. Партизанская д. 5, д. 7/2, ул. Спортивная д. 3, д. 7, ул. Чкалова д. 8, д. 10)</w:t>
      </w:r>
      <w:r>
        <w:rPr>
          <w:b/>
          <w:bCs/>
          <w:sz w:val="28"/>
          <w:szCs w:val="28"/>
        </w:rPr>
        <w:t>;</w:t>
      </w:r>
    </w:p>
    <w:p>
      <w:pPr>
        <w:pStyle w:val="Normal"/>
        <w:jc w:val="both"/>
        <w:rPr>
          <w:b/>
          <w:b/>
          <w:bCs/>
          <w:sz w:val="28"/>
          <w:szCs w:val="28"/>
        </w:rPr>
      </w:pPr>
      <w:r>
        <w:rPr>
          <w:b/>
          <w:bCs/>
          <w:sz w:val="28"/>
          <w:szCs w:val="28"/>
        </w:rPr>
        <w:tab/>
        <w:t xml:space="preserve">2 МКД- установка общедомовых приборов учета (ХВС и тепло) </w:t>
      </w:r>
      <w:r>
        <w:rPr>
          <w:sz w:val="28"/>
          <w:szCs w:val="28"/>
        </w:rPr>
        <w:t>(ул. Ленина д.1/1, д. 6),</w:t>
      </w:r>
    </w:p>
    <w:p>
      <w:pPr>
        <w:pStyle w:val="Normal"/>
        <w:jc w:val="both"/>
        <w:rPr>
          <w:sz w:val="28"/>
          <w:szCs w:val="28"/>
        </w:rPr>
      </w:pPr>
      <w:r>
        <w:rPr>
          <w:b/>
          <w:bCs/>
          <w:sz w:val="28"/>
          <w:szCs w:val="28"/>
        </w:rPr>
        <w:tab/>
      </w:r>
      <w:r>
        <w:rPr>
          <w:rFonts w:cs="Times New Roman"/>
          <w:b/>
          <w:bCs/>
          <w:sz w:val="28"/>
          <w:szCs w:val="28"/>
        </w:rPr>
        <w:t>1</w:t>
      </w:r>
      <w:r>
        <w:rPr>
          <w:b/>
          <w:bCs/>
          <w:sz w:val="28"/>
          <w:szCs w:val="28"/>
        </w:rPr>
        <w:t xml:space="preserve"> МКД</w:t>
      </w:r>
      <w:r>
        <w:rPr>
          <w:sz w:val="28"/>
          <w:szCs w:val="28"/>
        </w:rPr>
        <w:t xml:space="preserve"> - с видами работ на проектно-изыскательские работы (ПИРы) по ул. Чкалова д. 8 (на капит. ремонт сетей электроснабжения).</w:t>
        <w:tab/>
      </w:r>
    </w:p>
    <w:p>
      <w:pPr>
        <w:pStyle w:val="Normal"/>
        <w:jc w:val="both"/>
        <w:rPr/>
      </w:pPr>
      <w:r>
        <w:rPr>
          <w:sz w:val="28"/>
          <w:szCs w:val="28"/>
        </w:rPr>
        <w:tab/>
        <w:t xml:space="preserve">Так же в рамках краткосрочного плана на 2019г. выполнен капитальный </w:t>
      </w:r>
      <w:r>
        <w:rPr>
          <w:b/>
          <w:bCs/>
          <w:sz w:val="28"/>
          <w:szCs w:val="28"/>
        </w:rPr>
        <w:t>ремонт крыши в 1 МКД по ул. Спортивная д. 9/2</w:t>
      </w:r>
      <w:r>
        <w:rPr>
          <w:rFonts w:cs="Times New Roman"/>
          <w:b/>
          <w:bCs/>
          <w:sz w:val="28"/>
          <w:szCs w:val="28"/>
        </w:rPr>
        <w:t>.</w:t>
      </w:r>
    </w:p>
    <w:p>
      <w:pPr>
        <w:pStyle w:val="Normal"/>
        <w:jc w:val="both"/>
        <w:rPr/>
      </w:pPr>
      <w:r>
        <w:rPr/>
      </w:r>
    </w:p>
    <w:p>
      <w:pPr>
        <w:pStyle w:val="Normal"/>
        <w:jc w:val="both"/>
        <w:rPr>
          <w:sz w:val="28"/>
          <w:szCs w:val="28"/>
        </w:rPr>
      </w:pPr>
      <w:r>
        <w:rPr>
          <w:rFonts w:cs="Times New Roman"/>
          <w:b/>
          <w:bCs/>
          <w:sz w:val="28"/>
          <w:szCs w:val="28"/>
        </w:rPr>
        <w:t xml:space="preserve"> </w:t>
      </w:r>
      <w:r>
        <w:rPr>
          <w:sz w:val="28"/>
          <w:szCs w:val="28"/>
        </w:rPr>
        <w:tab/>
        <w:t>Включенные в краткосрочную программу на 2019 год многоквартирные дома находятся в управлении  УК ООО «ВИРА сервис».</w:t>
      </w:r>
    </w:p>
    <w:p>
      <w:pPr>
        <w:pStyle w:val="Normal"/>
        <w:jc w:val="both"/>
        <w:rPr>
          <w:sz w:val="28"/>
          <w:szCs w:val="28"/>
        </w:rPr>
      </w:pPr>
      <w:r>
        <w:rPr>
          <w:sz w:val="28"/>
          <w:szCs w:val="28"/>
        </w:rPr>
        <w:tab/>
        <w:t xml:space="preserve">Сумма выполненных работ по капитальному ремонту </w:t>
      </w:r>
      <w:r>
        <w:rPr>
          <w:b/>
          <w:bCs/>
          <w:sz w:val="28"/>
          <w:szCs w:val="28"/>
        </w:rPr>
        <w:t>за 2019 год</w:t>
      </w:r>
      <w:r>
        <w:rPr>
          <w:sz w:val="28"/>
          <w:szCs w:val="28"/>
        </w:rPr>
        <w:t xml:space="preserve"> составила </w:t>
      </w:r>
      <w:r>
        <w:rPr>
          <w:b/>
          <w:bCs/>
          <w:sz w:val="28"/>
          <w:szCs w:val="28"/>
        </w:rPr>
        <w:t>24 504 048,84</w:t>
      </w:r>
      <w:r>
        <w:rPr>
          <w:sz w:val="28"/>
          <w:szCs w:val="28"/>
        </w:rPr>
        <w:t xml:space="preserve"> рублей, из них – работы на инженерных сетях на сумму</w:t>
      </w:r>
      <w:r>
        <w:rPr>
          <w:b/>
          <w:bCs/>
          <w:sz w:val="28"/>
          <w:szCs w:val="28"/>
        </w:rPr>
        <w:t xml:space="preserve"> 20 487 710,54 рублей</w:t>
      </w:r>
      <w:r>
        <w:rPr>
          <w:sz w:val="28"/>
          <w:szCs w:val="28"/>
        </w:rPr>
        <w:t>, ремонт крыши  на  сумму</w:t>
      </w:r>
      <w:r>
        <w:rPr>
          <w:b/>
          <w:bCs/>
          <w:sz w:val="28"/>
          <w:szCs w:val="28"/>
        </w:rPr>
        <w:t xml:space="preserve"> 3 953 785,20 рубля</w:t>
      </w:r>
      <w:r>
        <w:rPr>
          <w:sz w:val="28"/>
          <w:szCs w:val="28"/>
        </w:rPr>
        <w:t xml:space="preserve">, на выполнение ПИРов — </w:t>
      </w:r>
      <w:r>
        <w:rPr>
          <w:b/>
          <w:bCs/>
          <w:sz w:val="28"/>
          <w:szCs w:val="28"/>
        </w:rPr>
        <w:t>62 553,10</w:t>
      </w:r>
      <w:r>
        <w:rPr>
          <w:sz w:val="28"/>
          <w:szCs w:val="28"/>
        </w:rPr>
        <w:t xml:space="preserve"> </w:t>
      </w:r>
      <w:r>
        <w:rPr>
          <w:b/>
          <w:bCs/>
          <w:sz w:val="28"/>
          <w:szCs w:val="28"/>
        </w:rPr>
        <w:t>рублей.</w:t>
      </w:r>
      <w:r>
        <w:rPr>
          <w:sz w:val="28"/>
          <w:szCs w:val="28"/>
        </w:rPr>
        <w:t xml:space="preserve"> </w:t>
      </w:r>
    </w:p>
    <w:p>
      <w:pPr>
        <w:pStyle w:val="Normal"/>
        <w:jc w:val="both"/>
        <w:rPr>
          <w:sz w:val="28"/>
          <w:szCs w:val="28"/>
        </w:rPr>
      </w:pPr>
      <w:r>
        <w:rPr>
          <w:sz w:val="28"/>
          <w:szCs w:val="28"/>
        </w:rPr>
        <w:tab/>
        <w:t xml:space="preserve">Финансирование данных работ осуществлялось </w:t>
      </w:r>
      <w:r>
        <w:rPr>
          <w:b/>
          <w:bCs/>
          <w:sz w:val="28"/>
          <w:szCs w:val="28"/>
          <w:u w:val="single"/>
        </w:rPr>
        <w:t>за счет средств собственников</w:t>
      </w:r>
      <w:r>
        <w:rPr>
          <w:sz w:val="28"/>
          <w:szCs w:val="28"/>
        </w:rPr>
        <w:t xml:space="preserve"> помещений в многоквартирных домах, формирующих фонды капитального ремонта на счете Регионального оператора. </w:t>
      </w:r>
    </w:p>
    <w:p>
      <w:pPr>
        <w:pStyle w:val="Normal"/>
        <w:jc w:val="both"/>
        <w:rPr>
          <w:sz w:val="28"/>
          <w:szCs w:val="28"/>
        </w:rPr>
      </w:pPr>
      <w:r>
        <w:rPr>
          <w:sz w:val="28"/>
          <w:szCs w:val="28"/>
        </w:rPr>
        <w:tab/>
        <w:t xml:space="preserve">Все запланированные в отчетном году работы выполнены, </w:t>
      </w:r>
      <w:r>
        <w:rPr>
          <w:b/>
          <w:bCs/>
          <w:sz w:val="28"/>
          <w:szCs w:val="28"/>
        </w:rPr>
        <w:t xml:space="preserve">так же завершены работы </w:t>
      </w:r>
      <w:r>
        <w:rPr>
          <w:sz w:val="28"/>
          <w:szCs w:val="28"/>
        </w:rPr>
        <w:t xml:space="preserve">по капитальному ремонту фасада многоквартирного дома </w:t>
      </w:r>
      <w:r>
        <w:rPr>
          <w:b/>
          <w:bCs/>
          <w:sz w:val="28"/>
          <w:szCs w:val="28"/>
        </w:rPr>
        <w:t xml:space="preserve">по ул. Максима Горького, д.5/9. </w:t>
      </w:r>
    </w:p>
    <w:p>
      <w:pPr>
        <w:pStyle w:val="Normal"/>
        <w:jc w:val="both"/>
        <w:rPr>
          <w:sz w:val="28"/>
          <w:szCs w:val="28"/>
        </w:rPr>
      </w:pPr>
      <w:r>
        <w:rPr>
          <w:sz w:val="28"/>
          <w:szCs w:val="28"/>
        </w:rPr>
        <w:tab/>
        <w:t xml:space="preserve">За ходом выполнения работ и качеством их исполнения велся постоянный строгий контроль со стороны инспекторов регионального Фонда капитального ремонта, комитета по жилищно-коммунальному хозяйству Ленинградской области, администрации и управляющих организаций. </w:t>
      </w:r>
    </w:p>
    <w:p>
      <w:pPr>
        <w:pStyle w:val="Normal"/>
        <w:jc w:val="both"/>
        <w:rPr>
          <w:sz w:val="28"/>
          <w:szCs w:val="28"/>
        </w:rPr>
      </w:pPr>
      <w:r>
        <w:rPr>
          <w:sz w:val="28"/>
          <w:szCs w:val="28"/>
        </w:rPr>
        <w:tab/>
        <w:t xml:space="preserve">В программе капитального ремонта прописаны определенные сроки проведения капремонта для каждого дома. Некоторым людям приходится ждать его несколько десятков лет. Однако сделать это можно намного раньше. </w:t>
      </w:r>
    </w:p>
    <w:p>
      <w:pPr>
        <w:pStyle w:val="Normal"/>
        <w:jc w:val="both"/>
        <w:rPr>
          <w:sz w:val="28"/>
          <w:szCs w:val="28"/>
        </w:rPr>
      </w:pPr>
      <w:r>
        <w:rPr>
          <w:sz w:val="28"/>
          <w:szCs w:val="28"/>
        </w:rPr>
        <w:tab/>
        <w:t>Постановлением Правительства Ленинградской области от 27.12.2017 № 625 утвержден «Порядок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Данный Порядок вступил в силу с 1 января 2018 года, применяется для переноса установленного срока капитального ремонта (отдельных услуг и (или) работ по капитальному ремонту) на более ранний период.</w:t>
      </w:r>
    </w:p>
    <w:p>
      <w:pPr>
        <w:pStyle w:val="Normal"/>
        <w:jc w:val="both"/>
        <w:rPr>
          <w:rFonts w:cs="Times New Roman"/>
          <w:sz w:val="28"/>
          <w:szCs w:val="28"/>
          <w:lang w:eastAsia="ru-RU" w:bidi="ar-SA"/>
        </w:rPr>
      </w:pPr>
      <w:r>
        <w:rPr>
          <w:sz w:val="28"/>
          <w:szCs w:val="28"/>
        </w:rPr>
        <w:tab/>
        <w:t xml:space="preserve">Особо хочется отметить следующий факт, что для решения вопросов по переносу сроков проведения капитального ремонта общего имущества на более ранние периоды основным требованием Порядка является собираемость взносов на капитальный ремонт собственников помещений в многоквартирном доме и она должна составлять </w:t>
      </w:r>
      <w:r>
        <w:rPr>
          <w:b/>
          <w:bCs/>
          <w:sz w:val="28"/>
          <w:szCs w:val="28"/>
        </w:rPr>
        <w:t xml:space="preserve">не менее 90 процентов. </w:t>
      </w:r>
    </w:p>
    <w:p>
      <w:pPr>
        <w:pStyle w:val="Normal"/>
        <w:ind w:firstLine="709"/>
        <w:jc w:val="both"/>
        <w:rPr>
          <w:rFonts w:cs="Times New Roman"/>
          <w:sz w:val="28"/>
          <w:szCs w:val="28"/>
          <w:lang w:eastAsia="ru-RU" w:bidi="ar-SA"/>
        </w:rPr>
      </w:pPr>
      <w:r>
        <w:rPr>
          <w:rFonts w:cs="Times New Roman"/>
          <w:sz w:val="28"/>
          <w:szCs w:val="28"/>
          <w:lang w:eastAsia="ru-RU" w:bidi="ar-SA"/>
        </w:rPr>
        <w:t>В соответствии со ст.169 Жилищного кодекса РФ на собственников помещений многоквартирных домов возложена обязанность по оплате взносов на капитальный ремонт общего имущества в многоквартирном доме.</w:t>
        <w:br/>
        <w:t>Обязанность по уплате взносов на капитальный ремонт общего имущества многоквартирных домов, расположенных на территории Ленинградской области, возникла с 1 мая 2014 года.</w:t>
      </w:r>
    </w:p>
    <w:p>
      <w:pPr>
        <w:pStyle w:val="Normal"/>
        <w:ind w:firstLine="709"/>
        <w:jc w:val="both"/>
        <w:rPr>
          <w:rFonts w:cs="Times New Roman"/>
          <w:sz w:val="28"/>
          <w:szCs w:val="28"/>
          <w:lang w:eastAsia="ru-RU" w:bidi="ar-SA"/>
        </w:rPr>
      </w:pPr>
      <w:r>
        <w:rPr>
          <w:rFonts w:cs="Times New Roman"/>
          <w:sz w:val="28"/>
          <w:szCs w:val="28"/>
          <w:lang w:eastAsia="ru-RU" w:bidi="ar-SA"/>
        </w:rPr>
        <w:t xml:space="preserve">Обязательные взносы на капитальный ремонт введены для того, чтобы для каждого многоквартирного дома, включенного в региональную программу капитального ремонта, формировался фонд капитального ремонта. </w:t>
      </w:r>
    </w:p>
    <w:p>
      <w:pPr>
        <w:pStyle w:val="Normal"/>
        <w:ind w:firstLine="709"/>
        <w:jc w:val="both"/>
        <w:rPr>
          <w:rFonts w:cs="Times New Roman"/>
          <w:sz w:val="28"/>
          <w:szCs w:val="28"/>
          <w:u w:val="single"/>
        </w:rPr>
      </w:pPr>
      <w:r>
        <w:rPr>
          <w:rFonts w:cs="Times New Roman"/>
          <w:sz w:val="28"/>
          <w:szCs w:val="28"/>
          <w:lang w:eastAsia="ru-RU" w:bidi="ar-SA"/>
        </w:rPr>
        <w:t>Именно обязательные ежемесячные взносы на капитальный ремонт являются основным источником для выполнения работ по капитальному ремонту общего имущества в многоквартирном доме.</w:t>
      </w:r>
    </w:p>
    <w:p>
      <w:pPr>
        <w:pStyle w:val="Normal"/>
        <w:ind w:firstLine="709"/>
        <w:jc w:val="both"/>
        <w:rPr/>
      </w:pPr>
      <w:r>
        <w:rPr>
          <w:rFonts w:cs="Times New Roman"/>
          <w:sz w:val="28"/>
          <w:szCs w:val="28"/>
        </w:rPr>
        <w:t>Таким образом, в том числе от добросовестной уплаты жителей Ленинградской области взносов на капитальный ремонт зависит выполнение региональных программ капитального ремонта, как краткосрочной на текущий год, так и долгосрочной, рассчитанной до 2043 года.</w:t>
      </w:r>
    </w:p>
    <w:p>
      <w:pPr>
        <w:pStyle w:val="Normal"/>
        <w:jc w:val="center"/>
        <w:rPr/>
      </w:pPr>
      <w:r>
        <w:rPr>
          <w:rFonts w:cs="Times New Roman"/>
          <w:b/>
          <w:sz w:val="28"/>
          <w:szCs w:val="28"/>
        </w:rPr>
        <w:t xml:space="preserve">Итоги реализации приоритетного проекта </w:t>
      </w:r>
    </w:p>
    <w:p>
      <w:pPr>
        <w:pStyle w:val="Normal"/>
        <w:jc w:val="center"/>
        <w:rPr>
          <w:rFonts w:cs="Times New Roman"/>
          <w:b/>
          <w:b/>
          <w:bCs/>
          <w:sz w:val="28"/>
          <w:szCs w:val="28"/>
        </w:rPr>
      </w:pPr>
      <w:r>
        <w:rPr>
          <w:rFonts w:cs="Times New Roman"/>
          <w:b/>
          <w:sz w:val="28"/>
          <w:szCs w:val="28"/>
        </w:rPr>
        <w:t>«Формирование комфортной городской среды»</w:t>
      </w:r>
    </w:p>
    <w:p>
      <w:pPr>
        <w:pStyle w:val="Normal"/>
        <w:ind w:firstLine="851"/>
        <w:jc w:val="both"/>
        <w:rPr/>
      </w:pPr>
      <w:r>
        <w:rPr>
          <w:color w:val="000000"/>
          <w:kern w:val="0"/>
          <w:sz w:val="28"/>
          <w:szCs w:val="28"/>
          <w:lang w:eastAsia="zh-CN"/>
        </w:rPr>
        <w:t>В 2019 году</w:t>
      </w:r>
      <w:r>
        <w:rPr>
          <w:b/>
          <w:bCs/>
          <w:color w:val="000000"/>
          <w:kern w:val="0"/>
          <w:sz w:val="28"/>
          <w:szCs w:val="28"/>
          <w:lang w:eastAsia="zh-CN"/>
        </w:rPr>
        <w:t xml:space="preserve"> </w:t>
      </w:r>
      <w:r>
        <w:rPr>
          <w:kern w:val="0"/>
          <w:sz w:val="28"/>
          <w:szCs w:val="28"/>
          <w:lang w:eastAsia="zh-CN"/>
        </w:rPr>
        <w:t xml:space="preserve">в рамках приоритетного проекта «Формирование комфортной городской среды» на территории Сланцевского городского поселения Сланцевского муниципального района благоустроено </w:t>
      </w:r>
      <w:r>
        <w:rPr>
          <w:b/>
          <w:kern w:val="0"/>
          <w:sz w:val="28"/>
          <w:szCs w:val="28"/>
          <w:lang w:eastAsia="zh-CN"/>
        </w:rPr>
        <w:t>4 территории на общую сумму 28 566,6 тысяч рублей:</w:t>
      </w:r>
    </w:p>
    <w:p>
      <w:pPr>
        <w:pStyle w:val="Normal"/>
        <w:ind w:firstLine="851"/>
        <w:jc w:val="both"/>
        <w:rPr>
          <w:bCs/>
          <w:color w:val="000000"/>
          <w:kern w:val="0"/>
          <w:sz w:val="28"/>
          <w:szCs w:val="28"/>
          <w:lang w:eastAsia="zh-CN"/>
        </w:rPr>
      </w:pPr>
      <w:r>
        <w:rPr>
          <w:b/>
          <w:bCs/>
          <w:color w:val="000000"/>
          <w:kern w:val="0"/>
          <w:sz w:val="28"/>
          <w:szCs w:val="28"/>
          <w:lang w:eastAsia="zh-CN"/>
        </w:rPr>
        <w:t>-</w:t>
      </w:r>
      <w:r>
        <w:rPr>
          <w:bCs/>
          <w:color w:val="000000"/>
          <w:kern w:val="0"/>
          <w:sz w:val="28"/>
          <w:szCs w:val="28"/>
          <w:lang w:eastAsia="zh-CN"/>
        </w:rPr>
        <w:t xml:space="preserve"> ул. Кирова, д. 50;</w:t>
      </w:r>
    </w:p>
    <w:p>
      <w:pPr>
        <w:pStyle w:val="Normal"/>
        <w:ind w:firstLine="851"/>
        <w:jc w:val="both"/>
        <w:rPr>
          <w:bCs/>
          <w:color w:val="000000"/>
          <w:kern w:val="0"/>
          <w:sz w:val="28"/>
          <w:szCs w:val="28"/>
          <w:lang w:eastAsia="zh-CN"/>
        </w:rPr>
      </w:pPr>
      <w:r>
        <w:rPr>
          <w:bCs/>
          <w:color w:val="000000"/>
          <w:kern w:val="0"/>
          <w:sz w:val="28"/>
          <w:szCs w:val="28"/>
          <w:lang w:eastAsia="zh-CN"/>
        </w:rPr>
        <w:t>- ул. Кирова, д. 51 корпус 1, корпус 2;</w:t>
      </w:r>
    </w:p>
    <w:p>
      <w:pPr>
        <w:pStyle w:val="Normal"/>
        <w:ind w:firstLine="851"/>
        <w:jc w:val="both"/>
        <w:rPr>
          <w:bCs/>
          <w:color w:val="000000"/>
          <w:kern w:val="0"/>
          <w:sz w:val="28"/>
          <w:szCs w:val="28"/>
          <w:lang w:eastAsia="zh-CN"/>
        </w:rPr>
      </w:pPr>
      <w:r>
        <w:rPr>
          <w:bCs/>
          <w:color w:val="000000"/>
          <w:kern w:val="0"/>
          <w:sz w:val="28"/>
          <w:szCs w:val="28"/>
          <w:lang w:eastAsia="zh-CN"/>
        </w:rPr>
        <w:t>- ул. Чкалова, д. 14;</w:t>
      </w:r>
    </w:p>
    <w:p>
      <w:pPr>
        <w:pStyle w:val="Normal"/>
        <w:ind w:firstLine="851"/>
        <w:jc w:val="both"/>
        <w:rPr>
          <w:bCs/>
          <w:color w:val="000000"/>
          <w:kern w:val="0"/>
          <w:sz w:val="28"/>
          <w:szCs w:val="28"/>
          <w:lang w:eastAsia="zh-CN"/>
        </w:rPr>
      </w:pPr>
      <w:r>
        <w:rPr>
          <w:bCs/>
          <w:color w:val="000000"/>
          <w:kern w:val="0"/>
          <w:sz w:val="28"/>
          <w:szCs w:val="28"/>
          <w:lang w:eastAsia="zh-CN"/>
        </w:rPr>
        <w:t>- ул. Грибоедова, д. 15.</w:t>
      </w:r>
    </w:p>
    <w:p>
      <w:pPr>
        <w:pStyle w:val="Normal"/>
        <w:spacing w:before="0" w:after="0"/>
        <w:ind w:firstLine="709"/>
        <w:contextualSpacing/>
        <w:jc w:val="both"/>
        <w:rPr>
          <w:rFonts w:cs="Times New Roman"/>
          <w:b/>
          <w:b/>
          <w:sz w:val="28"/>
          <w:szCs w:val="28"/>
          <w:u w:val="single"/>
        </w:rPr>
      </w:pPr>
      <w:r>
        <w:rPr>
          <w:rFonts w:cs="Times New Roman"/>
          <w:b/>
          <w:sz w:val="28"/>
          <w:szCs w:val="28"/>
          <w:u w:val="single"/>
        </w:rPr>
      </w:r>
    </w:p>
    <w:p>
      <w:pPr>
        <w:pStyle w:val="Normal"/>
        <w:spacing w:before="0" w:after="0"/>
        <w:ind w:firstLine="709"/>
        <w:contextualSpacing/>
        <w:jc w:val="both"/>
        <w:rPr>
          <w:rFonts w:cs="Times New Roman"/>
          <w:sz w:val="28"/>
          <w:szCs w:val="28"/>
        </w:rPr>
      </w:pPr>
      <w:r>
        <w:rPr>
          <w:rFonts w:cs="Times New Roman"/>
          <w:sz w:val="28"/>
          <w:szCs w:val="28"/>
        </w:rPr>
        <w:t>По данным территориям проведены следующие работы: обустройство зон отдыха, парковок, тротуаров, ремонт проездов, установка малых архитектурных форм, проведено озеленение и освещение, ограждение территорий. Так же были установлены детские площадки и спортивные комплексы.</w:t>
      </w:r>
    </w:p>
    <w:p>
      <w:pPr>
        <w:pStyle w:val="Normal"/>
        <w:ind w:firstLine="709"/>
        <w:jc w:val="both"/>
        <w:rPr>
          <w:rFonts w:cs="Times New Roman"/>
          <w:b/>
          <w:b/>
          <w:sz w:val="28"/>
          <w:szCs w:val="28"/>
        </w:rPr>
      </w:pPr>
      <w:r>
        <w:rPr>
          <w:rFonts w:cs="Times New Roman"/>
          <w:sz w:val="28"/>
          <w:szCs w:val="28"/>
        </w:rPr>
        <w:t>В 2020 году работа по реализации приоритетного проекта «Формирование комфортной городской среды» продолжится.</w:t>
      </w:r>
    </w:p>
    <w:p>
      <w:pPr>
        <w:pStyle w:val="Normal"/>
        <w:jc w:val="center"/>
        <w:rPr/>
      </w:pPr>
      <w:r>
        <w:rPr>
          <w:rFonts w:cs="Times New Roman"/>
          <w:b/>
          <w:sz w:val="28"/>
          <w:szCs w:val="28"/>
        </w:rPr>
        <w:t>Земля</w:t>
      </w:r>
    </w:p>
    <w:p>
      <w:pPr>
        <w:pStyle w:val="Normal"/>
        <w:ind w:firstLine="709"/>
        <w:jc w:val="both"/>
        <w:rPr/>
      </w:pPr>
      <w:r>
        <w:rPr>
          <w:sz w:val="28"/>
          <w:szCs w:val="28"/>
        </w:rPr>
        <w:t>В 2019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начала работу по образованию земельных участков из состава земель сельскохозяйственного назначения. За указанный период поставлено на государственный кадастровый учет 25 земельных участков (общей площадью 207,46 га) и передано в КУГИ Ленобласти для формирования перечня земельных участков для реализации основного мероприятия «Ленинградский гектар».</w:t>
      </w:r>
    </w:p>
    <w:p>
      <w:pPr>
        <w:pStyle w:val="Normal"/>
        <w:ind w:firstLine="709"/>
        <w:jc w:val="both"/>
        <w:rPr/>
      </w:pPr>
      <w:r>
        <w:rPr>
          <w:sz w:val="28"/>
          <w:szCs w:val="28"/>
        </w:rPr>
        <w:t xml:space="preserve">На 01.01.2020 в реестре учета граждан, имеющих 3-х и более детей, изъявивших желание на бесплатное предоставление земельных участков, числится 46 многодетных семей (в том числе имеющих право на получение земельных участков на территории Сланцевского городского поселения – 34).  </w:t>
      </w:r>
    </w:p>
    <w:p>
      <w:pPr>
        <w:pStyle w:val="NormalWeb"/>
        <w:spacing w:beforeAutospacing="0" w:before="0" w:after="0"/>
        <w:ind w:firstLine="709"/>
        <w:jc w:val="both"/>
        <w:rPr/>
      </w:pPr>
      <w:r>
        <w:rPr>
          <w:sz w:val="28"/>
          <w:szCs w:val="28"/>
        </w:rPr>
        <w:t>За 2019 год реализовали право 26 многодетных семей.</w:t>
      </w:r>
    </w:p>
    <w:p>
      <w:pPr>
        <w:pStyle w:val="Style18"/>
        <w:spacing w:before="0" w:after="0"/>
        <w:ind w:firstLine="709"/>
        <w:jc w:val="both"/>
        <w:rPr/>
      </w:pPr>
      <w:r>
        <w:rPr>
          <w:sz w:val="28"/>
          <w:szCs w:val="28"/>
        </w:rPr>
        <w:t>На сегодняшний день в перечне земельных участков, запланированных для предоставления в соответствии с областными законами, находится 80 земельных участков общей площадью 11,18 га (территория аэродрома 36 земельных участков площадью 4,32 га).</w:t>
      </w:r>
    </w:p>
    <w:p>
      <w:pPr>
        <w:pStyle w:val="Normal"/>
        <w:ind w:firstLine="709"/>
        <w:jc w:val="both"/>
        <w:rPr/>
      </w:pPr>
      <w:r>
        <w:rPr>
          <w:sz w:val="28"/>
          <w:szCs w:val="28"/>
        </w:rPr>
        <w:t xml:space="preserve">Перечень земельных участков постоянно меняется, так как в работе находится </w:t>
      </w:r>
      <w:r>
        <w:rPr>
          <w:sz w:val="28"/>
          <w:szCs w:val="28"/>
          <w:u w:val="single"/>
        </w:rPr>
        <w:t xml:space="preserve">земельный массив северо-восточнее ул. Малая </w:t>
      </w:r>
      <w:r>
        <w:rPr>
          <w:sz w:val="28"/>
          <w:szCs w:val="28"/>
        </w:rPr>
        <w:t xml:space="preserve">(изначально 55 земельных участков). Предоставлено из указанного массива 19 земельных участков. </w:t>
      </w:r>
    </w:p>
    <w:p>
      <w:pPr>
        <w:pStyle w:val="Normal"/>
        <w:ind w:firstLine="709"/>
        <w:jc w:val="both"/>
        <w:rPr/>
      </w:pPr>
      <w:r>
        <w:rPr>
          <w:color w:val="000000"/>
          <w:sz w:val="28"/>
          <w:szCs w:val="28"/>
        </w:rPr>
        <w:t xml:space="preserve">За 12 месяцев 2019 заключено 163 договора аренды земельных участков с физическими и юридическими лицами.  </w:t>
      </w:r>
    </w:p>
    <w:p>
      <w:pPr>
        <w:pStyle w:val="Normal"/>
        <w:ind w:firstLine="709"/>
        <w:jc w:val="both"/>
        <w:rPr/>
      </w:pPr>
      <w:r>
        <w:rPr>
          <w:color w:val="000000"/>
          <w:spacing w:val="-14"/>
          <w:sz w:val="28"/>
          <w:szCs w:val="28"/>
        </w:rPr>
        <w:t>В реестре договоров аренды земельных участков числится 2294 договора, арендной платы начислено 83 117,92 тыс. руб.:</w:t>
      </w:r>
    </w:p>
    <w:p>
      <w:pPr>
        <w:pStyle w:val="Normal"/>
        <w:ind w:firstLine="709"/>
        <w:jc w:val="both"/>
        <w:rPr/>
      </w:pPr>
      <w:r>
        <w:rPr>
          <w:sz w:val="28"/>
          <w:szCs w:val="28"/>
        </w:rPr>
        <w:t xml:space="preserve">-для юридических лиц </w:t>
      </w:r>
      <w:r>
        <w:rPr>
          <w:sz w:val="28"/>
          <w:szCs w:val="28"/>
          <w:lang w:eastAsia="ru-RU"/>
        </w:rPr>
        <w:t xml:space="preserve">75 878,36 </w:t>
      </w:r>
      <w:r>
        <w:rPr>
          <w:sz w:val="28"/>
          <w:szCs w:val="28"/>
        </w:rPr>
        <w:t>тыс.руб.;</w:t>
      </w:r>
    </w:p>
    <w:p>
      <w:pPr>
        <w:pStyle w:val="Normal"/>
        <w:ind w:firstLine="709"/>
        <w:jc w:val="both"/>
        <w:rPr/>
      </w:pPr>
      <w:r>
        <w:rPr>
          <w:sz w:val="28"/>
          <w:szCs w:val="28"/>
        </w:rPr>
        <w:t xml:space="preserve">-для физических лиц –– </w:t>
      </w:r>
      <w:r>
        <w:rPr>
          <w:sz w:val="28"/>
          <w:szCs w:val="28"/>
          <w:lang w:eastAsia="ru-RU"/>
        </w:rPr>
        <w:t xml:space="preserve">7 239,56 </w:t>
      </w:r>
      <w:r>
        <w:rPr>
          <w:sz w:val="28"/>
          <w:szCs w:val="28"/>
        </w:rPr>
        <w:t>тыс.руб.</w:t>
      </w:r>
    </w:p>
    <w:p>
      <w:pPr>
        <w:pStyle w:val="Normal"/>
        <w:ind w:firstLine="709"/>
        <w:jc w:val="both"/>
        <w:rPr/>
      </w:pPr>
      <w:r>
        <w:rPr>
          <w:sz w:val="28"/>
          <w:szCs w:val="28"/>
          <w:shd w:fill="FFFFFF" w:val="clear"/>
        </w:rPr>
        <w:t>Доходы, получаемые в виде арендной платы, за фактическое пользование земельными участками, неустойки и составили 82 295,72 тыс. руб.</w:t>
      </w:r>
    </w:p>
    <w:p>
      <w:pPr>
        <w:pStyle w:val="Normal"/>
        <w:ind w:firstLine="709"/>
        <w:jc w:val="both"/>
        <w:rPr/>
      </w:pPr>
      <w:r>
        <w:rPr>
          <w:sz w:val="28"/>
          <w:szCs w:val="28"/>
        </w:rPr>
        <w:t xml:space="preserve">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 За 2019г. поступило 79 заявлений от физических и юридических лиц на приобретение земельных участков с собственность за плату. </w:t>
      </w: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w:t>
      </w:r>
      <w:r>
        <w:rPr>
          <w:sz w:val="28"/>
          <w:szCs w:val="28"/>
        </w:rPr>
        <w:t>, за 2019годсоставили 3 294 ,45 тыс. руб.</w:t>
      </w:r>
    </w:p>
    <w:p>
      <w:pPr>
        <w:pStyle w:val="Normal"/>
        <w:ind w:firstLine="709"/>
        <w:jc w:val="both"/>
        <w:rPr/>
      </w:pPr>
      <w:r>
        <w:rPr>
          <w:sz w:val="28"/>
          <w:szCs w:val="28"/>
        </w:rPr>
        <w:t xml:space="preserve">Доход от увеличения площади 57 земельных участков (перераспределения земель) составил 4 097,86 тыс. руб. </w:t>
      </w:r>
    </w:p>
    <w:p>
      <w:pPr>
        <w:pStyle w:val="Normal"/>
        <w:ind w:firstLine="709"/>
        <w:jc w:val="both"/>
        <w:rPr/>
      </w:pPr>
      <w:r>
        <w:rPr>
          <w:color w:val="000000"/>
          <w:spacing w:val="-14"/>
          <w:sz w:val="28"/>
          <w:szCs w:val="28"/>
        </w:rPr>
        <w:t>За отчетный период п</w:t>
      </w:r>
      <w:r>
        <w:rPr>
          <w:sz w:val="28"/>
          <w:szCs w:val="28"/>
        </w:rPr>
        <w:t xml:space="preserve">одготовлено и направлено: </w:t>
      </w:r>
    </w:p>
    <w:p>
      <w:pPr>
        <w:pStyle w:val="Normal"/>
        <w:jc w:val="both"/>
        <w:rPr/>
      </w:pPr>
      <w:r>
        <w:rPr>
          <w:sz w:val="28"/>
          <w:szCs w:val="28"/>
        </w:rPr>
        <w:t>-по физическим лицам 478 претензий на сумму 6 633,78 тыс. руб.</w:t>
      </w:r>
    </w:p>
    <w:p>
      <w:pPr>
        <w:pStyle w:val="Normal"/>
        <w:jc w:val="both"/>
        <w:rPr/>
      </w:pPr>
      <w:r>
        <w:rPr>
          <w:sz w:val="28"/>
          <w:szCs w:val="28"/>
        </w:rPr>
        <w:t>-по юридическим лицам 151 претензий на сумму 59690,45 тыс. руб.</w:t>
      </w:r>
    </w:p>
    <w:p>
      <w:pPr>
        <w:pStyle w:val="Normal"/>
        <w:ind w:firstLine="709"/>
        <w:jc w:val="both"/>
        <w:rPr/>
      </w:pPr>
      <w:r>
        <w:rPr>
          <w:sz w:val="28"/>
          <w:szCs w:val="28"/>
        </w:rPr>
        <w:t>Удовлетворено по физическим лицам 255 претензий на сумму 851,32 тыс. руб.; по юридическим лицам - 57 претензий на сумму 6 905,17 тыс. руб.</w:t>
      </w:r>
    </w:p>
    <w:p>
      <w:pPr>
        <w:pStyle w:val="Normal"/>
        <w:ind w:firstLine="709"/>
        <w:jc w:val="both"/>
        <w:rPr/>
      </w:pPr>
      <w:r>
        <w:rPr>
          <w:sz w:val="28"/>
          <w:szCs w:val="28"/>
        </w:rPr>
        <w:t xml:space="preserve">подготовлено и предъявлено: </w:t>
      </w:r>
    </w:p>
    <w:p>
      <w:pPr>
        <w:pStyle w:val="Normal"/>
        <w:ind w:firstLine="709"/>
        <w:jc w:val="both"/>
        <w:rPr/>
      </w:pPr>
      <w:r>
        <w:rPr>
          <w:sz w:val="28"/>
          <w:szCs w:val="28"/>
        </w:rPr>
        <w:t>-по физическим лицам 56 заявления на выдачу судебных приказов и исковых заявлений на сумму 2 580,92 тыс. руб.</w:t>
      </w:r>
    </w:p>
    <w:p>
      <w:pPr>
        <w:pStyle w:val="Normal"/>
        <w:ind w:firstLine="709"/>
        <w:jc w:val="both"/>
        <w:rPr/>
      </w:pPr>
      <w:r>
        <w:rPr>
          <w:sz w:val="28"/>
          <w:szCs w:val="28"/>
        </w:rPr>
        <w:t>-по юридическим лицам 19 исковых заявлений на сумму 47 947,20 тыс. руб.</w:t>
      </w:r>
    </w:p>
    <w:p>
      <w:pPr>
        <w:pStyle w:val="Normal"/>
        <w:ind w:firstLine="709"/>
        <w:jc w:val="both"/>
        <w:rPr/>
      </w:pPr>
      <w:r>
        <w:rPr>
          <w:sz w:val="28"/>
          <w:szCs w:val="28"/>
        </w:rPr>
        <w:t xml:space="preserve">Удовлетворено (с учетом поданных в 2018 году исковых заявлений и судебных приказов):  </w:t>
      </w:r>
    </w:p>
    <w:p>
      <w:pPr>
        <w:pStyle w:val="Normal"/>
        <w:ind w:firstLine="709"/>
        <w:jc w:val="both"/>
        <w:rPr/>
      </w:pPr>
      <w:r>
        <w:rPr>
          <w:sz w:val="28"/>
          <w:szCs w:val="28"/>
        </w:rPr>
        <w:t xml:space="preserve">-по физическим лицам 46 судебных приказов и исковых заявлений на сумму 2025,00 тыс. руб. - по юридическим лицам 17 исковых заявления на </w:t>
      </w:r>
    </w:p>
    <w:p>
      <w:pPr>
        <w:pStyle w:val="Normal"/>
        <w:ind w:firstLine="709"/>
        <w:jc w:val="both"/>
        <w:rPr/>
      </w:pPr>
      <w:r>
        <w:rPr>
          <w:sz w:val="28"/>
          <w:szCs w:val="28"/>
        </w:rPr>
        <w:t>сумму 18 880,88 тыс. руб.</w:t>
      </w:r>
    </w:p>
    <w:p>
      <w:pPr>
        <w:pStyle w:val="Normal"/>
        <w:ind w:firstLine="709"/>
        <w:jc w:val="both"/>
        <w:rPr/>
      </w:pPr>
      <w:r>
        <w:rPr>
          <w:color w:val="000000"/>
          <w:spacing w:val="-14"/>
          <w:sz w:val="28"/>
          <w:szCs w:val="28"/>
        </w:rPr>
        <w:t>Проведено</w:t>
      </w:r>
      <w:r>
        <w:rPr>
          <w:sz w:val="28"/>
          <w:szCs w:val="28"/>
        </w:rPr>
        <w:t xml:space="preserve"> 9 комиссий по укреплению бюджетной и налоговой дисциплины (задолженность по арендной плате за землю), приглашено 70 физических и юридических лиц. В результате работы комиссии погашено 3 713,25 тыс. руб.</w:t>
      </w:r>
    </w:p>
    <w:p>
      <w:pPr>
        <w:pStyle w:val="Normal"/>
        <w:jc w:val="center"/>
        <w:rPr>
          <w:rFonts w:cs="Times New Roman"/>
          <w:b/>
          <w:b/>
          <w:sz w:val="28"/>
          <w:szCs w:val="28"/>
        </w:rPr>
      </w:pPr>
      <w:r>
        <w:rPr>
          <w:rFonts w:cs="Times New Roman"/>
          <w:b/>
          <w:sz w:val="28"/>
          <w:szCs w:val="28"/>
        </w:rPr>
        <w:t>Муниципальное имущество</w:t>
      </w:r>
    </w:p>
    <w:p>
      <w:pPr>
        <w:pStyle w:val="Style18"/>
        <w:spacing w:before="0" w:after="0"/>
        <w:ind w:firstLine="709"/>
        <w:jc w:val="both"/>
        <w:rPr/>
      </w:pPr>
      <w:r>
        <w:rPr>
          <w:sz w:val="28"/>
          <w:szCs w:val="28"/>
        </w:rPr>
        <w:t xml:space="preserve">В муниципальной собственности Сланцевского городского поселения находится 1200 объектов недвижимости, общей площадью 80290,82 кв.метров, из низ передано в оперативное управление муниципальным учреждениям 11, общей площадью 4756,6 кв.метров, в хозяйственное ведение муниципальным предприятиям 6, площадью 3053,5 кв.метров. Передано в аренду физическим и юридическим лицам 51 объектов недвижимости, общей площадью 6419,16 кв.метров, из них в 2019 году было заключено 14 договоров аренды муниципального имущества, общей площадью 933,58 кв.метров. </w:t>
      </w:r>
    </w:p>
    <w:p>
      <w:pPr>
        <w:pStyle w:val="Style18"/>
        <w:spacing w:before="0" w:after="0"/>
        <w:ind w:firstLine="709"/>
        <w:jc w:val="both"/>
        <w:rPr>
          <w:sz w:val="28"/>
          <w:szCs w:val="28"/>
        </w:rPr>
      </w:pPr>
      <w:r>
        <w:rPr>
          <w:rFonts w:cs="Times New Roman"/>
          <w:sz w:val="28"/>
          <w:szCs w:val="28"/>
          <w:shd w:fill="FFFFFF" w:val="clear"/>
        </w:rPr>
        <w:t>Продолжается работа по выявлению бесхозяйных объектов на территории Сланцевского городского поселения. В 2019 году было выявлено и постановлено на учет 4 бесхозяйных объекта недвижимости и 3 бесхозяйных объектов движимого имущества. В 2020 году работа по выявлению бесхозяйных объектов продолжается.</w:t>
      </w:r>
    </w:p>
    <w:p>
      <w:pPr>
        <w:pStyle w:val="Style18"/>
        <w:spacing w:before="0" w:after="0"/>
        <w:ind w:firstLine="709"/>
        <w:jc w:val="both"/>
        <w:rPr>
          <w:sz w:val="28"/>
          <w:szCs w:val="28"/>
        </w:rPr>
      </w:pPr>
      <w:r>
        <w:rPr>
          <w:sz w:val="28"/>
          <w:szCs w:val="28"/>
        </w:rPr>
        <w:t xml:space="preserve">В муниципальной собственности Сланцевского муниципального района находится 308 объектов недвижимости, общей площадью 681 686,4 кв.метров, из низ передано в оперативное управление муниципальным учреждениям 121, общей площадью 572 306,4 кв.метров, в хозяйственное ведение муниципальным предприятиям 3, площадью 230,9 кв.метров. Передано в аренду физическим и юридическим лицам 23 объекта недвижимости, общей площадью 3892,1 кв.метров, из них в 2019 году было заключено 13 договоров аренды муниципального имущества, общей площадью 1461,9 кв.метров. </w:t>
      </w:r>
    </w:p>
    <w:p>
      <w:pPr>
        <w:pStyle w:val="Style18"/>
        <w:spacing w:before="0" w:after="0"/>
        <w:ind w:firstLine="709"/>
        <w:jc w:val="both"/>
        <w:rPr>
          <w:sz w:val="28"/>
          <w:szCs w:val="28"/>
        </w:rPr>
      </w:pPr>
      <w:r>
        <w:rPr>
          <w:sz w:val="28"/>
          <w:szCs w:val="28"/>
        </w:rPr>
        <w:t>В прогнозный план (программу) приватизации муниципального имущества Сланцевского городского поселения на 2019 год включено 17 объектов недвижимости, из них в 2019 году приватизировано 4 объекта недвижимости.</w:t>
      </w:r>
    </w:p>
    <w:p>
      <w:pPr>
        <w:pStyle w:val="Style18"/>
        <w:spacing w:before="0" w:after="0"/>
        <w:ind w:firstLine="709"/>
        <w:jc w:val="both"/>
        <w:rPr>
          <w:sz w:val="28"/>
          <w:szCs w:val="28"/>
        </w:rPr>
      </w:pPr>
      <w:r>
        <w:rPr>
          <w:sz w:val="28"/>
          <w:szCs w:val="28"/>
        </w:rPr>
        <w:t>В прогнозный план (программу) приватизации муниципального имущества Сланцевского муниципального района на 2019 год включено 12 объектов недвижимости, из них в 2019 году приватизировано 5 объектов недвижимости.</w:t>
      </w:r>
    </w:p>
    <w:p>
      <w:pPr>
        <w:pStyle w:val="Style18"/>
        <w:spacing w:before="0" w:after="0"/>
        <w:ind w:firstLine="709"/>
        <w:jc w:val="both"/>
        <w:rPr>
          <w:sz w:val="28"/>
          <w:szCs w:val="28"/>
        </w:rPr>
      </w:pPr>
      <w:r>
        <w:rPr>
          <w:sz w:val="28"/>
          <w:szCs w:val="28"/>
        </w:rPr>
        <w:t xml:space="preserve">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контроль за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w:t>
      </w:r>
    </w:p>
    <w:p>
      <w:pPr>
        <w:pStyle w:val="Style18"/>
        <w:spacing w:before="0" w:after="0"/>
        <w:ind w:firstLine="709"/>
        <w:jc w:val="both"/>
        <w:rPr>
          <w:sz w:val="28"/>
          <w:szCs w:val="28"/>
        </w:rPr>
      </w:pPr>
      <w:r>
        <w:rPr>
          <w:sz w:val="28"/>
          <w:szCs w:val="28"/>
        </w:rPr>
        <w:t xml:space="preserve">Включенные в прогнозный план (программу) приватизации муниципальные объекты недвижимости, не реализованные на сегодняшний день – законсервированы. </w:t>
      </w:r>
    </w:p>
    <w:p>
      <w:pPr>
        <w:pStyle w:val="Style18"/>
        <w:spacing w:before="0" w:after="0"/>
        <w:ind w:firstLine="709"/>
        <w:jc w:val="both"/>
        <w:rPr>
          <w:sz w:val="28"/>
          <w:szCs w:val="28"/>
        </w:rPr>
      </w:pPr>
      <w:r>
        <w:rPr>
          <w:sz w:val="28"/>
          <w:szCs w:val="28"/>
        </w:rPr>
        <w:t xml:space="preserve">Проводится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 </w:t>
      </w:r>
    </w:p>
    <w:p>
      <w:pPr>
        <w:pStyle w:val="Style18"/>
        <w:spacing w:before="0" w:after="0"/>
        <w:ind w:firstLine="709"/>
        <w:jc w:val="both"/>
        <w:rPr>
          <w:sz w:val="28"/>
          <w:szCs w:val="28"/>
        </w:rPr>
      </w:pPr>
      <w:r>
        <w:rPr>
          <w:sz w:val="28"/>
          <w:szCs w:val="28"/>
        </w:rPr>
        <w:t xml:space="preserve">В 2018-2019 годах администрацией в Сланцевский городской суд и Арбитражный суд Санкт-Петербурга и Ленинградской области поданы исковые заявления к собственникам нежилых зданиий (ул. Маяковского, д. 18 - кинотеатр "Труд"; ул. Маяковского, д. 10 - Универмаг; ул. Грибоедова, д. 20 - здания хлебозавода, ул. Ленина, д.34 - объект незавершенного строительства) о понуждении снести авариные объекты либо привести в надлежащее состояние нежилые здания, заказаны судебные строительно-технические экспертизы в рамках судебных разбирательств. В настоящее время имеется вступившее в законную силу решение Арбитражного суда о возложении обязанности осуществить ремонт здания универмага, гражданское дело по кинотеатру «Труд» находится на кассационном обжаловании, гражданские дела по зданиям хлебозавода и объекту незавершенного строительства на стадии разбирательства. </w:t>
      </w:r>
    </w:p>
    <w:p>
      <w:pPr>
        <w:pStyle w:val="Style18"/>
        <w:spacing w:before="0" w:after="0"/>
        <w:ind w:firstLine="709"/>
        <w:jc w:val="both"/>
        <w:rPr>
          <w:sz w:val="28"/>
          <w:szCs w:val="28"/>
        </w:rPr>
      </w:pPr>
      <w:r>
        <w:rPr>
          <w:sz w:val="28"/>
          <w:szCs w:val="28"/>
        </w:rPr>
        <w:t>В 2020 году продолжается работа по контролю за состоянием объектов муниципальной собственности, при необходимости проводится работа по ограничению доступа на объекты. Также продолжается работа с собственниками аварийных объектов. Объявлены торги по продаже недвижимых объектов муниципальной собственности.</w:t>
      </w:r>
    </w:p>
    <w:p>
      <w:pPr>
        <w:pStyle w:val="Style18"/>
        <w:spacing w:before="0" w:after="0"/>
        <w:ind w:firstLine="709"/>
        <w:jc w:val="both"/>
        <w:rPr>
          <w:sz w:val="28"/>
          <w:szCs w:val="28"/>
        </w:rPr>
      </w:pPr>
      <w:r>
        <w:rPr>
          <w:sz w:val="28"/>
          <w:szCs w:val="28"/>
        </w:rPr>
        <w:t xml:space="preserve">В 2019 году был поставлен на учет и зарегистрировано право муниципальной собственности на газапровод распределительный среднего и низкого давления м-на ул. Рабочая, Малая Рабочая, Поселковая, Боровая, пер. Плюсский. Сформирован и постановлен на кадастровый учет 1 земельный участок для размещения детской площадки по ул. Ш. Славы 7. Сформировано и постановлено на кадастровый учет 4 земельных участка ограничивающих территории старых кладбищ в дер. Большие Поля и дер. Малые Поля. Изготовлено 55 схем расположения земельных участков на территории бывшего аэродрома для предоставления в последующем многодетным семьям. </w:t>
      </w:r>
    </w:p>
    <w:p>
      <w:pPr>
        <w:pStyle w:val="Normal"/>
        <w:jc w:val="center"/>
        <w:rPr>
          <w:b/>
          <w:b/>
          <w:bCs/>
          <w:sz w:val="28"/>
          <w:szCs w:val="28"/>
        </w:rPr>
      </w:pPr>
      <w:r>
        <w:rPr>
          <w:b/>
          <w:bCs/>
          <w:sz w:val="28"/>
          <w:szCs w:val="28"/>
        </w:rPr>
        <w:t>Жилищная сфера</w:t>
      </w:r>
    </w:p>
    <w:p>
      <w:pPr>
        <w:pStyle w:val="Normal"/>
        <w:spacing w:before="0" w:after="0"/>
        <w:ind w:firstLine="709"/>
        <w:contextualSpacing/>
        <w:jc w:val="both"/>
        <w:rPr/>
      </w:pPr>
      <w:r>
        <w:rPr>
          <w:rFonts w:cs="Times New Roman"/>
          <w:sz w:val="28"/>
          <w:szCs w:val="28"/>
        </w:rPr>
        <w:t xml:space="preserve">В 2019 году на территории </w:t>
      </w:r>
      <w:r>
        <w:rPr>
          <w:rFonts w:cs="Times New Roman"/>
          <w:bCs/>
          <w:sz w:val="28"/>
          <w:szCs w:val="28"/>
        </w:rPr>
        <w:t>Сланцевского городского поселения</w:t>
      </w:r>
      <w:r>
        <w:rPr>
          <w:rFonts w:cs="Times New Roman"/>
          <w:sz w:val="28"/>
          <w:szCs w:val="28"/>
        </w:rPr>
        <w:t xml:space="preserve"> продолжалась работа по реализации следующих мероприятий государственных жилищных программ: </w:t>
      </w:r>
    </w:p>
    <w:p>
      <w:pPr>
        <w:pStyle w:val="Normal"/>
        <w:suppressAutoHyphens w:val="false"/>
        <w:spacing w:before="0" w:after="0"/>
        <w:ind w:firstLine="720"/>
        <w:contextualSpacing/>
        <w:jc w:val="both"/>
        <w:rPr>
          <w:rFonts w:cs="Times New Roman"/>
          <w:sz w:val="28"/>
          <w:szCs w:val="28"/>
          <w:lang w:eastAsia="ru-RU"/>
        </w:rPr>
      </w:pPr>
      <w:r>
        <w:rPr>
          <w:rFonts w:cs="Times New Roman"/>
          <w:sz w:val="28"/>
          <w:szCs w:val="28"/>
          <w:lang w:eastAsia="ru-RU"/>
        </w:rPr>
        <w:t>- основное мероприятие «Улучшение жилищных условий молодых граждан (молодых семей)»государственной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pPr>
        <w:pStyle w:val="Normal"/>
        <w:suppressAutoHyphens w:val="false"/>
        <w:spacing w:before="0" w:after="0"/>
        <w:ind w:firstLine="720"/>
        <w:contextualSpacing/>
        <w:jc w:val="both"/>
        <w:rPr>
          <w:rFonts w:cs="Times New Roman"/>
          <w:sz w:val="28"/>
          <w:szCs w:val="28"/>
          <w:lang w:eastAsia="ru-RU"/>
        </w:rPr>
      </w:pPr>
      <w:r>
        <w:rPr>
          <w:rFonts w:cs="Times New Roman"/>
          <w:sz w:val="28"/>
          <w:szCs w:val="28"/>
          <w:lang w:eastAsia="ru-RU"/>
        </w:rPr>
        <w:t>- основное мероприятие «Улучшение жилищных условий граждан с использованием средств ипотечного кредита (займа)»государственной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pPr>
        <w:pStyle w:val="Normal"/>
        <w:suppressAutoHyphens w:val="false"/>
        <w:spacing w:before="0" w:after="0"/>
        <w:ind w:firstLine="720"/>
        <w:contextualSpacing/>
        <w:jc w:val="both"/>
        <w:rPr>
          <w:rFonts w:cs="Times New Roman"/>
          <w:sz w:val="28"/>
          <w:szCs w:val="28"/>
          <w:lang w:eastAsia="ru-RU"/>
        </w:rPr>
      </w:pPr>
      <w:r>
        <w:rPr>
          <w:rFonts w:cs="Times New Roman"/>
          <w:sz w:val="28"/>
          <w:szCs w:val="28"/>
          <w:lang w:eastAsia="ru-RU"/>
        </w:rPr>
        <w:t>-</w:t>
      </w:r>
      <w:r>
        <w:rPr>
          <w:rFonts w:cs="Times New Roman"/>
          <w:bCs/>
          <w:sz w:val="28"/>
          <w:szCs w:val="28"/>
        </w:rPr>
        <w:t xml:space="preserve"> мероприятие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Normal"/>
        <w:suppressAutoHyphens w:val="false"/>
        <w:spacing w:before="0" w:after="0"/>
        <w:ind w:firstLine="709"/>
        <w:contextualSpacing/>
        <w:jc w:val="both"/>
        <w:rPr>
          <w:rFonts w:cs="Times New Roman"/>
          <w:sz w:val="28"/>
          <w:szCs w:val="28"/>
        </w:rPr>
      </w:pPr>
      <w:r>
        <w:rPr>
          <w:rFonts w:cs="Times New Roman"/>
          <w:sz w:val="28"/>
          <w:szCs w:val="28"/>
        </w:rPr>
        <w:t>Граждане, признанные нуждающимися в жилых помещениях в целях участия в долгосрочных целевых жилищных программах, в соответствии с условиями жилищных программ ежегодно подтверждают свое право на участие в них, и в установленные законом сроки подают заявление на получение социальной выплаты в рамках реализации каждой из программ.</w:t>
      </w:r>
    </w:p>
    <w:p>
      <w:pPr>
        <w:pStyle w:val="Normal"/>
        <w:suppressAutoHyphens w:val="false"/>
        <w:spacing w:before="0" w:after="0"/>
        <w:ind w:firstLine="709"/>
        <w:contextualSpacing/>
        <w:jc w:val="both"/>
        <w:rPr>
          <w:rFonts w:cs="Times New Roman"/>
          <w:sz w:val="28"/>
          <w:szCs w:val="28"/>
        </w:rPr>
      </w:pPr>
      <w:r>
        <w:rPr>
          <w:rFonts w:eastAsia="SimSun" w:cs="Times New Roman"/>
          <w:sz w:val="28"/>
          <w:szCs w:val="28"/>
          <w:lang w:eastAsia="ru-RU"/>
        </w:rPr>
        <w:t>На 2019 год в Комитет по строительству Ленинградской областиадминистрацией Сланцевского муниципального района от имени Сланцевского городского поселения подана заявка на 37молодых семей - участников жилищных программ.</w:t>
      </w:r>
    </w:p>
    <w:p>
      <w:pPr>
        <w:pStyle w:val="Normal"/>
        <w:suppressAutoHyphens w:val="false"/>
        <w:spacing w:before="0" w:after="0"/>
        <w:ind w:firstLine="709"/>
        <w:contextualSpacing/>
        <w:jc w:val="both"/>
        <w:rPr>
          <w:rFonts w:cs="Times New Roman"/>
          <w:sz w:val="28"/>
          <w:szCs w:val="28"/>
        </w:rPr>
      </w:pPr>
      <w:r>
        <w:rPr>
          <w:rFonts w:cs="Times New Roman"/>
          <w:sz w:val="28"/>
          <w:szCs w:val="28"/>
        </w:rPr>
        <w:t>По итогам рассмотрения Комитетом по строительству Ленинградской области в списки получателей социальной выплаты по Сланцевскому городскому поселению включены</w:t>
      </w:r>
      <w:r>
        <w:rPr>
          <w:rFonts w:eastAsia="SimSun" w:cs="Times New Roman"/>
          <w:sz w:val="28"/>
          <w:szCs w:val="28"/>
        </w:rPr>
        <w:t xml:space="preserve"> 8 семей (из них - 7 многодетных), в т.ч. 2 семьи работников бюджетной сферы (здравоохранение), общая сумма выплат составила - 6,6 млн. руб. </w:t>
      </w:r>
    </w:p>
    <w:p>
      <w:pPr>
        <w:pStyle w:val="Normal"/>
        <w:spacing w:before="0" w:after="0"/>
        <w:ind w:firstLine="709"/>
        <w:contextualSpacing/>
        <w:jc w:val="both"/>
        <w:rPr>
          <w:color w:val="000000"/>
          <w:sz w:val="27"/>
          <w:szCs w:val="27"/>
        </w:rPr>
      </w:pPr>
      <w:r>
        <w:rPr>
          <w:rFonts w:cs="Times New Roman"/>
          <w:sz w:val="28"/>
          <w:szCs w:val="28"/>
        </w:rPr>
        <w:t>Молодым семьям вручены сертификаты. В 2019 году 7 семей приобрели благоустроенные жилые помещения, в связи с действующими сроками реализации свидетельств на приобретение жилья, 1 жилое помещение в рамках жилищной программы будет приобретено в 2020 году.</w:t>
      </w:r>
    </w:p>
    <w:p>
      <w:pPr>
        <w:pStyle w:val="NormalWeb"/>
        <w:spacing w:beforeAutospacing="0" w:before="0" w:after="0"/>
        <w:ind w:firstLine="709"/>
        <w:contextualSpacing/>
        <w:jc w:val="both"/>
        <w:rPr>
          <w:sz w:val="28"/>
          <w:szCs w:val="28"/>
        </w:rPr>
      </w:pPr>
      <w:r>
        <w:rPr>
          <w:color w:val="000000"/>
          <w:sz w:val="27"/>
          <w:szCs w:val="27"/>
        </w:rPr>
        <w:t>В 2019 году принято на учет нуждающихся в жилых помещениях в целях участия в государственных жилищных программах 7 молодых семей, их низ 3 многодетные семьи.</w:t>
      </w:r>
    </w:p>
    <w:p>
      <w:pPr>
        <w:pStyle w:val="Normal"/>
        <w:spacing w:before="0" w:after="0"/>
        <w:contextualSpacing/>
        <w:jc w:val="both"/>
        <w:rPr>
          <w:rFonts w:eastAsia="SimSun" w:cs="Times New Roman"/>
          <w:color w:val="FF3333"/>
          <w:sz w:val="28"/>
          <w:szCs w:val="28"/>
        </w:rPr>
      </w:pPr>
      <w:r>
        <w:rPr>
          <w:rFonts w:eastAsia="SimSun" w:cs="Times New Roman"/>
          <w:sz w:val="28"/>
          <w:szCs w:val="28"/>
        </w:rPr>
        <w:t xml:space="preserve">В </w:t>
      </w:r>
      <w:r>
        <w:rPr>
          <w:rFonts w:eastAsia="SimSun" w:cs="Times New Roman"/>
          <w:b/>
          <w:sz w:val="28"/>
          <w:szCs w:val="28"/>
        </w:rPr>
        <w:t>сельских поселениях Сланцевского муниципального района</w:t>
      </w:r>
      <w:r>
        <w:rPr>
          <w:rFonts w:eastAsia="SimSun" w:cs="Times New Roman"/>
          <w:sz w:val="28"/>
          <w:szCs w:val="28"/>
        </w:rPr>
        <w:t>:</w:t>
      </w:r>
    </w:p>
    <w:p>
      <w:pPr>
        <w:pStyle w:val="Normal"/>
        <w:tabs>
          <w:tab w:val="left" w:pos="10" w:leader="none"/>
        </w:tabs>
        <w:spacing w:before="0" w:after="0"/>
        <w:ind w:left="29" w:firstLine="680"/>
        <w:contextualSpacing/>
        <w:jc w:val="both"/>
        <w:rPr>
          <w:rFonts w:cs="Times New Roman"/>
          <w:sz w:val="28"/>
          <w:szCs w:val="28"/>
        </w:rPr>
      </w:pPr>
      <w:r>
        <w:rPr>
          <w:rFonts w:eastAsia="SimSun" w:cs="Times New Roman"/>
          <w:sz w:val="28"/>
          <w:szCs w:val="28"/>
          <w:lang w:eastAsia="ru-RU"/>
        </w:rPr>
        <w:t>В 2019 году 1</w:t>
      </w:r>
      <w:r>
        <w:rPr>
          <w:rFonts w:eastAsia="SimSun" w:cs="Times New Roman"/>
          <w:sz w:val="28"/>
          <w:szCs w:val="28"/>
        </w:rPr>
        <w:t xml:space="preserve"> семья в Старопольском сельском поселении получила социальную выплату на строительство жилого помещения, в сумме 3,6 млн. руб., в рамках реализации Федеральной целевой программы «Устойчивое развитие сельских территорий на 2014-2017 годы и на период до 2020 года».</w:t>
      </w:r>
    </w:p>
    <w:p>
      <w:pPr>
        <w:pStyle w:val="Normal"/>
        <w:spacing w:before="0" w:after="0"/>
        <w:ind w:firstLine="709"/>
        <w:contextualSpacing/>
        <w:jc w:val="both"/>
        <w:rPr>
          <w:rFonts w:eastAsia="SimSun" w:cs="Times New Roman"/>
          <w:b/>
          <w:b/>
          <w:sz w:val="28"/>
          <w:szCs w:val="28"/>
        </w:rPr>
      </w:pPr>
      <w:r>
        <w:rPr>
          <w:rFonts w:eastAsia="SimSun" w:cs="Times New Roman"/>
          <w:sz w:val="28"/>
          <w:szCs w:val="28"/>
        </w:rPr>
        <w:t xml:space="preserve">На 2020 год поданы заявки в Правительство Ленинградской области от Выскатского, Загривского и Старопольского сельских поселений на участие в мероприятиях программы на 3 семьи. </w:t>
      </w:r>
    </w:p>
    <w:p>
      <w:pPr>
        <w:pStyle w:val="Normal"/>
        <w:spacing w:before="0" w:after="0"/>
        <w:ind w:firstLine="709"/>
        <w:contextualSpacing/>
        <w:jc w:val="both"/>
        <w:rPr>
          <w:rFonts w:cs="Times New Roman"/>
          <w:b/>
          <w:b/>
          <w:sz w:val="28"/>
          <w:szCs w:val="28"/>
        </w:rPr>
      </w:pPr>
      <w:r>
        <w:rPr>
          <w:rFonts w:cs="Times New Roman"/>
          <w:sz w:val="28"/>
          <w:szCs w:val="28"/>
        </w:rPr>
        <w:t xml:space="preserve">Переселение граждан из аварийных домов в муниципальных образованиях Сланцевского муниципального района происходит по двум направлениям - путем участия в региональной программе и с помощью дополнительного финансирования за счет средств областного бюджета. </w:t>
      </w:r>
    </w:p>
    <w:p>
      <w:pPr>
        <w:pStyle w:val="Normal"/>
        <w:suppressAutoHyphens w:val="false"/>
        <w:spacing w:before="0" w:after="0"/>
        <w:ind w:firstLine="720"/>
        <w:contextualSpacing/>
        <w:jc w:val="both"/>
        <w:rPr/>
      </w:pPr>
      <w:r>
        <w:rPr>
          <w:rFonts w:cs="Times New Roman"/>
          <w:bCs/>
          <w:sz w:val="28"/>
          <w:szCs w:val="28"/>
        </w:rPr>
        <w:t>П</w:t>
      </w:r>
      <w:r>
        <w:rPr>
          <w:rFonts w:cs="Times New Roman"/>
          <w:sz w:val="28"/>
          <w:szCs w:val="28"/>
        </w:rPr>
        <w:t xml:space="preserve">ризнанный аварийным в 2018 году и расположенный в промышленной зоне Сланцевского городского поселения 32-двух многоквартирный дом № 24 по ул. Школьной не включен в региональную адресную </w:t>
      </w:r>
      <w:hyperlink r:id="rId2">
        <w:r>
          <w:rPr>
            <w:rStyle w:val="ListLabel130"/>
            <w:rFonts w:cs="Times New Roman"/>
            <w:sz w:val="28"/>
            <w:szCs w:val="28"/>
          </w:rPr>
          <w:t>программу</w:t>
        </w:r>
      </w:hyperlink>
      <w:r>
        <w:rPr/>
        <w:t xml:space="preserve"> </w:t>
      </w:r>
      <w:r>
        <w:rPr>
          <w:rFonts w:cs="Times New Roman"/>
          <w:sz w:val="28"/>
          <w:szCs w:val="28"/>
        </w:rPr>
        <w:t xml:space="preserve">«Переселение граждан из аварийного жилищного фонда на территории Ленинградской области в 2019-2025 годах», так как признан аварийным после 01.01.2017 г.  </w:t>
      </w:r>
    </w:p>
    <w:p>
      <w:pPr>
        <w:pStyle w:val="Normal"/>
        <w:suppressAutoHyphens w:val="false"/>
        <w:spacing w:before="0" w:after="0"/>
        <w:ind w:firstLine="720"/>
        <w:contextualSpacing/>
        <w:jc w:val="both"/>
        <w:rPr>
          <w:rFonts w:cs="Times New Roman"/>
          <w:sz w:val="28"/>
          <w:szCs w:val="28"/>
        </w:rPr>
      </w:pPr>
      <w:r>
        <w:rPr>
          <w:rFonts w:cs="Times New Roman"/>
          <w:sz w:val="28"/>
          <w:szCs w:val="28"/>
        </w:rPr>
        <w:t>По обращению администрации Сланцевского муниципального района на основании распоряжения Правительства Ленинградской области от 02 апреля 2019 года №184-р «О выделении средств комитету по строительству Ленинградской области»были выделены средства из резервного фонда для расселения в 2019 году граждан, в сумме 25 315,4 тыс.руб</w:t>
      </w:r>
      <w:r>
        <w:rPr>
          <w:sz w:val="28"/>
          <w:szCs w:val="28"/>
        </w:rPr>
        <w:t xml:space="preserve">. </w:t>
      </w:r>
      <w:r>
        <w:rPr>
          <w:rFonts w:cs="Times New Roman"/>
          <w:sz w:val="28"/>
          <w:szCs w:val="28"/>
        </w:rPr>
        <w:t>на приобретения жилых помещений на вторичном рынке жилья.</w:t>
      </w:r>
    </w:p>
    <w:p>
      <w:pPr>
        <w:pStyle w:val="Normal"/>
        <w:spacing w:before="0" w:after="0"/>
        <w:ind w:firstLine="709"/>
        <w:contextualSpacing/>
        <w:jc w:val="both"/>
        <w:rPr>
          <w:rFonts w:cs="Times New Roman"/>
          <w:sz w:val="28"/>
          <w:szCs w:val="28"/>
        </w:rPr>
      </w:pPr>
      <w:r>
        <w:rPr>
          <w:rFonts w:cs="Times New Roman"/>
          <w:sz w:val="28"/>
          <w:szCs w:val="28"/>
        </w:rPr>
        <w:t>В 2019 году проводились процедуры по покупке жилых помещений в рамках законодательства. На 31.12.2019 г. все 32 благоустроенные квартиры приобретены для расселения 76-ти граждан, зарегистрировано право собственности за муниципальным образованием Сланцевское городское поселение, по договорам мены квартир переселены граждане из 24 квартир, завершается работа по переселению оставшихся 8 семей.</w:t>
      </w:r>
    </w:p>
    <w:p>
      <w:pPr>
        <w:pStyle w:val="Normal"/>
        <w:spacing w:before="0" w:after="0"/>
        <w:ind w:firstLine="709"/>
        <w:contextualSpacing/>
        <w:jc w:val="both"/>
        <w:rPr>
          <w:rFonts w:cs="Times New Roman"/>
          <w:color w:val="000000"/>
          <w:sz w:val="28"/>
          <w:highlight w:val="white"/>
        </w:rPr>
      </w:pPr>
      <w:r>
        <w:rPr>
          <w:rFonts w:cs="Times New Roman"/>
          <w:sz w:val="28"/>
          <w:szCs w:val="28"/>
        </w:rPr>
        <w:t xml:space="preserve">На сегодняшний день в Сланцевском городском поселении еще 1 аварийный 8-квартирный дом №20 по ул. Школьной требует скорейшего расселения. </w:t>
      </w:r>
      <w:r>
        <w:rPr>
          <w:rFonts w:cs="Times New Roman"/>
          <w:sz w:val="28"/>
          <w:szCs w:val="28"/>
          <w:lang w:eastAsia="en-US"/>
        </w:rPr>
        <w:t>В правительство Ленинградской области в декабре 2019 администрацией направлено обращение о рассмотрении вопроса о выделении средств из резервного фонда Губернатора Ленинградской области в размере 7 926, 8 тыс.руб.</w:t>
      </w:r>
    </w:p>
    <w:p>
      <w:pPr>
        <w:pStyle w:val="Normal"/>
        <w:spacing w:before="0" w:after="0"/>
        <w:ind w:firstLine="709"/>
        <w:contextualSpacing/>
        <w:jc w:val="both"/>
        <w:rPr>
          <w:rFonts w:cs="Times New Roman"/>
          <w:sz w:val="28"/>
          <w:szCs w:val="28"/>
        </w:rPr>
      </w:pPr>
      <w:r>
        <w:rPr>
          <w:rFonts w:cs="Times New Roman"/>
          <w:color w:val="000000"/>
          <w:sz w:val="28"/>
          <w:shd w:fill="FFFFFF" w:val="clear"/>
        </w:rPr>
        <w:t>Одновременно начата работа по принятию в муниципальную собственность и признанию аварийным многоквартирного дома в д. Печурки, д. 9, входящей в черту города, с целью дальнейшего переселения граждан в благоустроенные квартиры в Сланцевском городском поселении. Планируется в бюджете Сланцевского городского поселения предусмотреть финансовые средства на софинансирование.</w:t>
      </w:r>
    </w:p>
    <w:p>
      <w:pPr>
        <w:pStyle w:val="Normal"/>
        <w:suppressAutoHyphens w:val="false"/>
        <w:spacing w:before="0" w:after="0"/>
        <w:ind w:firstLine="720"/>
        <w:contextualSpacing/>
        <w:jc w:val="both"/>
        <w:rPr>
          <w:rFonts w:cs="Times New Roman"/>
          <w:sz w:val="28"/>
          <w:szCs w:val="28"/>
        </w:rPr>
      </w:pPr>
      <w:r>
        <w:rPr>
          <w:rFonts w:cs="Times New Roman"/>
          <w:sz w:val="28"/>
          <w:szCs w:val="28"/>
        </w:rPr>
        <w:t>Также в программных мероприятиях по переселению граждан в Сланцевском муниципальном районе участвуют два сельских поселения: Загривское СП и Черновское СП.</w:t>
      </w:r>
    </w:p>
    <w:p>
      <w:pPr>
        <w:pStyle w:val="Normal"/>
        <w:suppressAutoHyphens w:val="false"/>
        <w:spacing w:before="0" w:after="0"/>
        <w:ind w:firstLine="720"/>
        <w:contextualSpacing/>
        <w:jc w:val="both"/>
        <w:rPr/>
      </w:pPr>
      <w:r>
        <w:rPr>
          <w:rFonts w:cs="Times New Roman"/>
          <w:sz w:val="28"/>
          <w:szCs w:val="28"/>
        </w:rPr>
        <w:t xml:space="preserve">В 2019 году в рамках региональной адресной </w:t>
      </w:r>
      <w:hyperlink r:id="rId3">
        <w:r>
          <w:rPr>
            <w:rStyle w:val="ListLabel130"/>
            <w:rFonts w:cs="Times New Roman"/>
            <w:sz w:val="28"/>
            <w:szCs w:val="28"/>
          </w:rPr>
          <w:t>программы</w:t>
        </w:r>
      </w:hyperlink>
      <w:r>
        <w:rPr/>
        <w:t xml:space="preserve"> </w:t>
      </w:r>
      <w:r>
        <w:rPr>
          <w:rFonts w:cs="Times New Roman"/>
          <w:sz w:val="28"/>
          <w:szCs w:val="28"/>
        </w:rPr>
        <w:t>«Переселение граждан из аварийного жилищного фонда на территории Ленинградской области в 2019-2025 годах», в Черновском сельском поселении приобретено 13 благоустроенных жилых помещений, для расселения 2 аварийных многоквартирных домов, завершить расселение граждан планируется в 2020 году.</w:t>
      </w:r>
    </w:p>
    <w:p>
      <w:pPr>
        <w:pStyle w:val="Normal"/>
        <w:spacing w:before="0" w:after="0"/>
        <w:ind w:firstLine="709"/>
        <w:contextualSpacing/>
        <w:jc w:val="both"/>
        <w:rPr>
          <w:rFonts w:cs="Times New Roman"/>
          <w:sz w:val="28"/>
          <w:szCs w:val="28"/>
        </w:rPr>
      </w:pPr>
      <w:r>
        <w:rPr>
          <w:rFonts w:cs="Times New Roman"/>
          <w:sz w:val="28"/>
          <w:szCs w:val="28"/>
        </w:rPr>
        <w:t xml:space="preserve">В Загривском сельском поселении один аварийный многоквартирный дом планируется расселить  в 2021 году. </w:t>
      </w:r>
    </w:p>
    <w:p>
      <w:pPr>
        <w:pStyle w:val="Normal"/>
        <w:spacing w:before="0" w:after="0"/>
        <w:ind w:firstLine="709"/>
        <w:contextualSpacing/>
        <w:jc w:val="both"/>
        <w:rPr>
          <w:rFonts w:cs="Times New Roman"/>
          <w:sz w:val="28"/>
          <w:szCs w:val="28"/>
          <w:lang w:eastAsia="ru-RU"/>
        </w:rPr>
      </w:pPr>
      <w:r>
        <w:rPr>
          <w:rFonts w:eastAsia="SimSun" w:cs="Times New Roman"/>
          <w:sz w:val="28"/>
          <w:szCs w:val="28"/>
          <w:lang w:eastAsia="ru-RU"/>
        </w:rPr>
        <w:t>На 01.01.2019 года в муниципальных образованиях Сланцевского муниципального района состояли на очереди в качестве нуждающихся в жилых помещениях: 128 сем./346 чел., в т.ч. в Сланцевском городском поселении:105 сем./285 чел.</w:t>
      </w:r>
    </w:p>
    <w:p>
      <w:pPr>
        <w:pStyle w:val="Normal"/>
        <w:spacing w:before="0" w:after="0"/>
        <w:ind w:firstLine="709"/>
        <w:contextualSpacing/>
        <w:jc w:val="both"/>
        <w:rPr>
          <w:rFonts w:cs="Times New Roman"/>
          <w:sz w:val="28"/>
          <w:szCs w:val="28"/>
        </w:rPr>
      </w:pPr>
      <w:r>
        <w:rPr>
          <w:rFonts w:eastAsia="SimSun" w:cs="Times New Roman"/>
          <w:sz w:val="28"/>
          <w:szCs w:val="28"/>
          <w:lang w:eastAsia="ru-RU"/>
        </w:rPr>
        <w:t xml:space="preserve">В результате перерегистрации граждан, проведенной в соответствии со </w:t>
      </w:r>
      <w:r>
        <w:rPr>
          <w:rFonts w:cs="Times New Roman"/>
          <w:sz w:val="28"/>
          <w:szCs w:val="28"/>
        </w:rPr>
        <w:t xml:space="preserve">ст. 7 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произошло упорядочение очереди нуждающихся и приведение ее в соответствие с актуальными действующими нормами областного законодательства, очередь </w:t>
      </w:r>
      <w:r>
        <w:rPr>
          <w:rFonts w:eastAsia="SimSun" w:cs="Times New Roman"/>
          <w:sz w:val="28"/>
          <w:szCs w:val="28"/>
          <w:lang w:eastAsia="ru-RU"/>
        </w:rPr>
        <w:t xml:space="preserve">в 2019 году составила: 100 сем./277 чел., в т.ч. в Сланцевском городском </w:t>
      </w:r>
      <w:r>
        <w:rPr>
          <w:rFonts w:cs="Times New Roman"/>
          <w:sz w:val="28"/>
          <w:szCs w:val="28"/>
        </w:rPr>
        <w:t>поселении:  80 сем./237 чел.</w:t>
      </w:r>
    </w:p>
    <w:p>
      <w:pPr>
        <w:pStyle w:val="NormalWeb"/>
        <w:spacing w:beforeAutospacing="0" w:before="0" w:after="0"/>
        <w:ind w:firstLine="709"/>
        <w:contextualSpacing/>
        <w:jc w:val="both"/>
        <w:rPr>
          <w:kern w:val="2"/>
          <w:sz w:val="28"/>
          <w:szCs w:val="28"/>
          <w:lang w:eastAsia="hi-IN" w:bidi="hi-IN"/>
        </w:rPr>
      </w:pPr>
      <w:r>
        <w:rPr>
          <w:kern w:val="2"/>
          <w:sz w:val="28"/>
          <w:szCs w:val="28"/>
          <w:lang w:eastAsia="hi-IN" w:bidi="hi-IN"/>
        </w:rPr>
        <w:t>В связи с потребностью в жилых помещениях для медицинских работников и учителей предоставлено жилых помещений по договорам коммерческого найма вновь прибывшим на работу молодым специалистам: учителям -2 жилых помещения, врачам -5 жилых помещений.</w:t>
      </w:r>
    </w:p>
    <w:p>
      <w:pPr>
        <w:pStyle w:val="NormalWeb"/>
        <w:spacing w:beforeAutospacing="0" w:before="0" w:after="0"/>
        <w:ind w:firstLine="709"/>
        <w:contextualSpacing/>
        <w:jc w:val="both"/>
        <w:rPr>
          <w:kern w:val="2"/>
          <w:sz w:val="28"/>
          <w:szCs w:val="28"/>
          <w:lang w:eastAsia="hi-IN" w:bidi="hi-IN"/>
        </w:rPr>
      </w:pPr>
      <w:r>
        <w:rPr>
          <w:kern w:val="2"/>
          <w:sz w:val="28"/>
          <w:szCs w:val="28"/>
          <w:lang w:eastAsia="hi-IN" w:bidi="hi-IN"/>
        </w:rPr>
        <w:t xml:space="preserve">В январе  2020 год в жилищную комиссию подано еще 2 заявления о предоставлении жилых помещений вновь прибывшим на работу медицинским работникам. </w:t>
      </w:r>
    </w:p>
    <w:p>
      <w:pPr>
        <w:pStyle w:val="Normal"/>
        <w:spacing w:before="0" w:after="0"/>
        <w:ind w:firstLine="709"/>
        <w:contextualSpacing/>
        <w:jc w:val="both"/>
        <w:rPr>
          <w:b/>
          <w:b/>
        </w:rPr>
      </w:pPr>
      <w:r>
        <w:rPr>
          <w:rFonts w:cs="Times New Roman"/>
          <w:sz w:val="28"/>
        </w:rPr>
        <w:t xml:space="preserve">Для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проводятся ремонты. </w:t>
      </w:r>
    </w:p>
    <w:p>
      <w:pPr>
        <w:pStyle w:val="Style18"/>
        <w:spacing w:before="0" w:after="0"/>
        <w:ind w:firstLine="709"/>
        <w:contextualSpacing/>
        <w:jc w:val="both"/>
        <w:rPr>
          <w:sz w:val="28"/>
          <w:szCs w:val="28"/>
        </w:rPr>
      </w:pPr>
      <w:r>
        <w:rPr>
          <w:rFonts w:cs="Times New Roman"/>
          <w:sz w:val="28"/>
        </w:rPr>
        <w:t xml:space="preserve">В рамках </w:t>
      </w:r>
      <w:r>
        <w:rPr>
          <w:rFonts w:cs="Times New Roman"/>
          <w:sz w:val="28"/>
          <w:shd w:fill="FFFFFF" w:val="clear"/>
        </w:rPr>
        <w:t>областного закона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r>
        <w:rPr>
          <w:rFonts w:cs="Times New Roman"/>
          <w:sz w:val="28"/>
        </w:rPr>
        <w:t>2019 году в Сланцевском муниципальном районе получила социальную выплату в сумме 287,0 тыс.руб. на проведение капитального ремонта жилого дома 1 семья жительницы блокадного Ленинграда, проживающая в Загривском сельском поселении.  Был выполнен ремонт крыши, ремонт и утепление чердачного перекрытия и потолка.</w:t>
      </w:r>
    </w:p>
    <w:p>
      <w:pPr>
        <w:pStyle w:val="NormalWeb"/>
        <w:spacing w:beforeAutospacing="0" w:before="0" w:after="0"/>
        <w:ind w:firstLine="709"/>
        <w:contextualSpacing/>
        <w:jc w:val="both"/>
        <w:rPr>
          <w:sz w:val="28"/>
          <w:szCs w:val="28"/>
        </w:rPr>
      </w:pPr>
      <w:r>
        <w:rPr>
          <w:sz w:val="28"/>
          <w:szCs w:val="28"/>
        </w:rPr>
        <w:t>В ноябре 2019 года  в статью 2 областного закона от 13.10.2014 № 62-оз внесены изменения в части распространения его действия на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pPr>
        <w:pStyle w:val="NormalWeb"/>
        <w:spacing w:beforeAutospacing="0" w:before="0" w:after="0"/>
        <w:ind w:firstLine="709"/>
        <w:contextualSpacing/>
        <w:jc w:val="both"/>
        <w:rPr>
          <w:sz w:val="28"/>
          <w:szCs w:val="28"/>
        </w:rPr>
      </w:pPr>
      <w:r>
        <w:rPr>
          <w:sz w:val="28"/>
          <w:szCs w:val="28"/>
        </w:rPr>
        <w:t xml:space="preserve">Администрацией Сланцевского муниципального района совместно с администрациями сельских поселений в кратчайшие сроки проведена работа по обследованию жилых домов и подготовке документов для включения в списки получателей социальной выплаты граждан этой новой льготной категории. </w:t>
      </w:r>
    </w:p>
    <w:p>
      <w:pPr>
        <w:pStyle w:val="NormalWeb"/>
        <w:spacing w:beforeAutospacing="0" w:before="0" w:after="0"/>
        <w:ind w:firstLine="709"/>
        <w:contextualSpacing/>
        <w:jc w:val="both"/>
        <w:rPr>
          <w:sz w:val="28"/>
          <w:szCs w:val="28"/>
        </w:rPr>
      </w:pPr>
      <w:r>
        <w:rPr>
          <w:sz w:val="28"/>
          <w:szCs w:val="28"/>
        </w:rPr>
        <w:t>В начале февраля в Правительство Ленинградской области подана заявка и отправлены учетные дела двух граждан, проживающих в Новосельском сельском поселении, имеющих право на ремонт жилого дома за счет средств областного бюджета.</w:t>
      </w:r>
    </w:p>
    <w:p>
      <w:pPr>
        <w:pStyle w:val="Normal"/>
        <w:ind w:firstLine="709"/>
        <w:jc w:val="both"/>
        <w:rPr>
          <w:sz w:val="28"/>
          <w:szCs w:val="28"/>
          <w:highlight w:val="white"/>
        </w:rPr>
      </w:pPr>
      <w:r>
        <w:rPr>
          <w:rFonts w:cs="Times New Roman"/>
          <w:sz w:val="28"/>
          <w:szCs w:val="28"/>
          <w:shd w:fill="FFFFFF" w:val="clear"/>
        </w:rPr>
        <w:t xml:space="preserve">В 2019 году </w:t>
      </w:r>
      <w:r>
        <w:rPr>
          <w:rFonts w:cs="Times New Roman"/>
          <w:sz w:val="28"/>
          <w:szCs w:val="28"/>
        </w:rPr>
        <w:t>Ветерану Великой Отечественной войны помогли с ремонтом кровли дома. Поддержка ветерану была оказана в преддверии 75-летия Победы в Великой Отечественной войне. В администрацию Сланцевского муниципального района обратился житель города Сланцы, ветеран Великой Отечественной войны, ветеран труда Владимир Иванович Никифоров. Он рассказал о трудной жизненной ситуации, в которой оказались он и его близкие, проживающие с ним в ½ дома по адресу ул. Шахтеров, д.8. Кровля его дома пришла в негодность, а средств на ремонт в семье нет.</w:t>
      </w:r>
    </w:p>
    <w:p>
      <w:pPr>
        <w:pStyle w:val="NormalWeb"/>
        <w:spacing w:beforeAutospacing="0" w:before="0" w:after="0"/>
        <w:ind w:firstLine="709"/>
        <w:contextualSpacing/>
        <w:jc w:val="both"/>
        <w:rPr>
          <w:sz w:val="28"/>
          <w:szCs w:val="28"/>
          <w:highlight w:val="white"/>
        </w:rPr>
      </w:pPr>
      <w:r>
        <w:rPr>
          <w:sz w:val="28"/>
          <w:szCs w:val="28"/>
          <w:shd w:fill="FFFFFF" w:val="clear"/>
        </w:rPr>
        <w:t>В рамках статьи 1151 Гражданского кодекса Российской Федерации от 26.11.2001 N 146-ФЗ, проведена работа по 38 жилым помещениям по выявлению выморочного имущества. Получены свидетельства о смерти, справки об отсутствии факта смерти из органов ЗАГС г.Москвы, Санкт-Петербурга, Ленинградской области, Псковской области, справки о регистрации по месту жительства, выписки из ЕГРН, сведения о наличии/отсутствии наследственных дел в нотариальных конторах Ленинградской области, Тверской области.</w:t>
      </w:r>
    </w:p>
    <w:p>
      <w:pPr>
        <w:pStyle w:val="NormalWeb"/>
        <w:spacing w:beforeAutospacing="0" w:before="0" w:after="0"/>
        <w:ind w:firstLine="709"/>
        <w:contextualSpacing/>
        <w:jc w:val="both"/>
        <w:rPr>
          <w:sz w:val="28"/>
          <w:szCs w:val="28"/>
          <w:highlight w:val="white"/>
        </w:rPr>
      </w:pPr>
      <w:r>
        <w:rPr>
          <w:sz w:val="28"/>
          <w:szCs w:val="28"/>
          <w:shd w:fill="FFFFFF" w:val="clear"/>
        </w:rPr>
        <w:t xml:space="preserve">Выявлено: - 14 жилых помещений (доли в праве общей долевой собственности), не соответствующих комнатам в квартирах, а также в данных жилых помещениях установлен факт постоянной регистрации по месту жительства граждан, являющихся и не являющихся родственниками умерших; </w:t>
      </w:r>
    </w:p>
    <w:p>
      <w:pPr>
        <w:pStyle w:val="NormalWeb"/>
        <w:spacing w:beforeAutospacing="0" w:before="0" w:after="0"/>
        <w:ind w:firstLine="709"/>
        <w:contextualSpacing/>
        <w:jc w:val="both"/>
        <w:rPr>
          <w:sz w:val="28"/>
          <w:szCs w:val="28"/>
          <w:highlight w:val="white"/>
        </w:rPr>
      </w:pPr>
      <w:r>
        <w:rPr>
          <w:sz w:val="28"/>
          <w:szCs w:val="28"/>
          <w:shd w:fill="FFFFFF" w:val="clear"/>
        </w:rPr>
        <w:t>- 14 жилых помещений, наличие наследственных дел, открытых в Нотариальных конторах.</w:t>
      </w:r>
    </w:p>
    <w:p>
      <w:pPr>
        <w:pStyle w:val="NormalWeb"/>
        <w:spacing w:beforeAutospacing="0" w:before="0" w:after="0"/>
        <w:ind w:firstLine="709"/>
        <w:contextualSpacing/>
        <w:jc w:val="both"/>
        <w:rPr>
          <w:sz w:val="28"/>
          <w:szCs w:val="28"/>
          <w:highlight w:val="white"/>
        </w:rPr>
      </w:pPr>
      <w:r>
        <w:rPr>
          <w:sz w:val="28"/>
          <w:szCs w:val="28"/>
          <w:shd w:fill="FFFFFF" w:val="clear"/>
        </w:rPr>
        <w:t>В результате проведенной работы в 2019 году в порядке наследования по закону в собственность МО СГП СМР ЛО оформлена однокомнатная квартира, в 2020 году будут оформлены в собственность 9 жилых помещений, а именно: 3 квартиры, 6 комнат.</w:t>
      </w:r>
    </w:p>
    <w:p>
      <w:pPr>
        <w:pStyle w:val="Style18"/>
        <w:numPr>
          <w:ilvl w:val="0"/>
          <w:numId w:val="1"/>
        </w:numPr>
        <w:spacing w:before="0" w:after="0"/>
        <w:ind w:left="0" w:firstLine="709"/>
        <w:jc w:val="both"/>
        <w:rPr>
          <w:rFonts w:cs="Times New Roman"/>
          <w:kern w:val="0"/>
          <w:sz w:val="28"/>
          <w:szCs w:val="28"/>
          <w:lang w:eastAsia="en-US" w:bidi="ar-SA"/>
        </w:rPr>
      </w:pPr>
      <w:r>
        <w:rPr>
          <w:rFonts w:cs="Times New Roman"/>
          <w:kern w:val="0"/>
          <w:sz w:val="28"/>
          <w:szCs w:val="28"/>
          <w:lang w:eastAsia="en-US" w:bidi="ar-SA"/>
        </w:rPr>
        <w:t>В рамках мероприятий в соответствии с Региональной адресной программой «Переселение граждан из аварийного жилищного фонда на территории Ленинградской области в 2013-2017 годах» в 2019 году снесены аварийные многоквартирные дома по ул. Ломоносова дом 13 и дом 15.</w:t>
      </w:r>
    </w:p>
    <w:p>
      <w:pPr>
        <w:pStyle w:val="Normal"/>
        <w:jc w:val="center"/>
        <w:rPr/>
      </w:pPr>
      <w:r>
        <w:rPr>
          <w:rFonts w:cs="Times New Roman"/>
          <w:b/>
          <w:bCs/>
          <w:sz w:val="28"/>
          <w:szCs w:val="28"/>
        </w:rPr>
        <w:t>Безопасность, гражданская оборона, предупреждение чрезвычайных ситуаций, обеспечение первичных мер пожарной безопасности.</w:t>
      </w:r>
    </w:p>
    <w:p>
      <w:pPr>
        <w:pStyle w:val="Normal"/>
        <w:ind w:firstLine="709"/>
        <w:jc w:val="both"/>
        <w:rPr/>
      </w:pPr>
      <w:r>
        <w:rPr>
          <w:color w:val="000000"/>
          <w:sz w:val="28"/>
          <w:szCs w:val="28"/>
        </w:rPr>
        <w:t>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района. В рамках исполнения данного полномочия проводилась работа по:</w:t>
      </w:r>
    </w:p>
    <w:p>
      <w:pPr>
        <w:pStyle w:val="Normal"/>
        <w:ind w:firstLine="709"/>
        <w:jc w:val="both"/>
        <w:rPr/>
      </w:pPr>
      <w:r>
        <w:rPr>
          <w:sz w:val="28"/>
          <w:szCs w:val="28"/>
        </w:rPr>
        <w:t>- профилактике терроризма и проявлений экстремизма;</w:t>
      </w:r>
    </w:p>
    <w:p>
      <w:pPr>
        <w:pStyle w:val="Normal"/>
        <w:ind w:firstLine="709"/>
        <w:jc w:val="both"/>
        <w:rPr/>
      </w:pPr>
      <w:r>
        <w:rPr>
          <w:sz w:val="28"/>
          <w:szCs w:val="28"/>
        </w:rPr>
        <w:t>- осуществлению  мер по противодействию коррупции;</w:t>
      </w:r>
    </w:p>
    <w:p>
      <w:pPr>
        <w:pStyle w:val="Normal"/>
        <w:ind w:firstLine="709"/>
        <w:jc w:val="both"/>
        <w:rPr/>
      </w:pPr>
      <w:r>
        <w:rPr>
          <w:sz w:val="28"/>
          <w:szCs w:val="28"/>
        </w:rPr>
        <w:t>- мониторингу межнациональных, межконфессиональных отношений;</w:t>
      </w:r>
    </w:p>
    <w:p>
      <w:pPr>
        <w:pStyle w:val="Normal"/>
        <w:ind w:firstLine="709"/>
        <w:jc w:val="both"/>
        <w:rPr/>
      </w:pPr>
      <w:r>
        <w:rPr>
          <w:sz w:val="28"/>
          <w:szCs w:val="28"/>
        </w:rPr>
        <w:t>-оказания содействия правоохранительным органам в обеспечении общественного порядка и общественной безопасности,</w:t>
      </w:r>
    </w:p>
    <w:p>
      <w:pPr>
        <w:pStyle w:val="Normal"/>
        <w:ind w:firstLine="709"/>
        <w:jc w:val="both"/>
        <w:rPr/>
      </w:pPr>
      <w:r>
        <w:rPr>
          <w:sz w:val="28"/>
          <w:szCs w:val="28"/>
        </w:rPr>
        <w:t>- гражданской обороны и предупреждения чрезвычайных ситуаций,</w:t>
      </w:r>
    </w:p>
    <w:p>
      <w:pPr>
        <w:pStyle w:val="Normal"/>
        <w:ind w:firstLine="709"/>
        <w:jc w:val="both"/>
        <w:rPr/>
      </w:pPr>
      <w:r>
        <w:rPr>
          <w:sz w:val="28"/>
          <w:szCs w:val="28"/>
        </w:rPr>
        <w:t>-обеспечение первичных мер пожарной безопасности.</w:t>
      </w:r>
    </w:p>
    <w:p>
      <w:pPr>
        <w:pStyle w:val="Normal"/>
        <w:ind w:firstLine="709"/>
        <w:jc w:val="both"/>
        <w:rPr/>
      </w:pPr>
      <w:r>
        <w:rPr>
          <w:sz w:val="28"/>
          <w:szCs w:val="28"/>
        </w:rPr>
        <w:t>Во исполнение Постановления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РФ, и форм паспортов безопасности таких мест и объектов (территорий), проведена большая работа по категорированию объектов и оформлению паспортов безопасности. Сегодня все образовательные организации района, места с массовым прибыванием людей, спортивные объекты имеют паспорта безопасности. Продолжается работа на объектах культуры, торговли.</w:t>
      </w:r>
    </w:p>
    <w:p>
      <w:pPr>
        <w:pStyle w:val="Normal"/>
        <w:ind w:firstLine="709"/>
        <w:jc w:val="both"/>
        <w:rPr/>
      </w:pPr>
      <w:r>
        <w:rPr>
          <w:rFonts w:cs="Times New Roman"/>
          <w:color w:val="000000"/>
          <w:sz w:val="28"/>
          <w:szCs w:val="28"/>
        </w:rPr>
        <w:t>С целью оказания содействия в обеспечении охраны общественного порядка на территории Сланцевского муниципального района продолжает свою работу добровольная народная дружина. Добровольцы обеспечены удостоверениями, отличительными жилетами, жизнь и здоровье добровольцев страхуется в соответствии с Постановлением Правительства Ленинградской области. Добровольцы принимают участие в обеспечении общественного порядка при проведении массовых мероприятий на территории Сланцевского городского поселения.</w:t>
      </w:r>
    </w:p>
    <w:p>
      <w:pPr>
        <w:pStyle w:val="ConsPlusNormal"/>
        <w:spacing w:lineRule="atLeast" w:line="200"/>
        <w:jc w:val="both"/>
        <w:rPr/>
      </w:pPr>
      <w:r>
        <w:rPr>
          <w:rFonts w:cs="Times New Roman" w:ascii="Times New Roman" w:hAnsi="Times New Roman"/>
          <w:color w:val="000000"/>
          <w:sz w:val="28"/>
          <w:szCs w:val="28"/>
        </w:rPr>
        <w:t>Для оказания помощи ОМВД России по Сланцевскому району в оперативном реагировании, содействии проведения дознания, розыскных мероприятий, в технически исправном состоянии поддерживается аппаратно-программный комплекс автомати</w:t>
        <w:softHyphen/>
        <w:t>зированной системы «Безопасный город». Видеокамеры продолжают работу в ме</w:t>
        <w:softHyphen/>
        <w:t>стах массового пребывания жителей города и на наиболее оживленных перекрестках город</w:t>
        <w:softHyphen/>
        <w:t xml:space="preserve">а Сланцы.  Продолжаем расширять комплекс и в 2019 году дополнительно установлено две видеокамеры. </w:t>
      </w:r>
    </w:p>
    <w:p>
      <w:pPr>
        <w:pStyle w:val="ConsPlusNormal"/>
        <w:spacing w:lineRule="atLeast" w:line="200"/>
        <w:ind w:firstLine="600"/>
        <w:jc w:val="both"/>
        <w:rPr/>
      </w:pPr>
      <w:r>
        <w:rPr>
          <w:rFonts w:cs="Times New Roman" w:ascii="Times New Roman" w:hAnsi="Times New Roman"/>
          <w:color w:val="000000"/>
          <w:sz w:val="28"/>
          <w:szCs w:val="28"/>
        </w:rPr>
        <w:t>Продолжается работа администрации Сланцевского муниципального района по первичному воинскому учету. Отлаженная работа по информированию лиц подлежащих призыву в Вооруженные Силы Российской Федерации, позволяет выполнять норму направления призывников в Вооруженные Силы от Сланцевского муниципального района.</w:t>
      </w:r>
    </w:p>
    <w:p>
      <w:pPr>
        <w:pStyle w:val="ConsPlusNormal"/>
        <w:spacing w:lineRule="atLeast" w:line="200"/>
        <w:ind w:firstLine="600"/>
        <w:jc w:val="both"/>
        <w:rPr/>
      </w:pPr>
      <w:r>
        <w:rPr>
          <w:rFonts w:cs="Times New Roman" w:ascii="Times New Roman" w:hAnsi="Times New Roman"/>
          <w:color w:val="000000"/>
          <w:sz w:val="28"/>
          <w:szCs w:val="28"/>
        </w:rPr>
        <w:t>Ведется мониторинг территории муниципального района в связи с затоплением шахтных пространств. Информация ежеквартально направляется в  Правительство Ленинградской области.</w:t>
      </w:r>
    </w:p>
    <w:p>
      <w:pPr>
        <w:pStyle w:val="ConsPlusNormal"/>
        <w:spacing w:lineRule="atLeast" w:line="200"/>
        <w:ind w:firstLine="600"/>
        <w:jc w:val="both"/>
        <w:rPr/>
      </w:pPr>
      <w:r>
        <w:rPr>
          <w:rFonts w:cs="Times New Roman" w:ascii="Times New Roman" w:hAnsi="Times New Roman"/>
          <w:color w:val="000000"/>
          <w:sz w:val="28"/>
          <w:szCs w:val="28"/>
        </w:rPr>
        <w:t xml:space="preserve">Продолжается работа по выполнению решения внеочередного выездного заседания комиссии по предупреждению и ликвидации чрезвычайных ситуаций и обеспечению пожарной безопасности Правительства Ленинградской области от 8 августа 2019 года в г. Сланцы Ленинградской области. Найдено решение вопроса выполнения геомеханического прогноза опасных гидрологических явлений на территории шахтных полей ОАО «Ленинградсланец», их влияния на состояние жилых зданий и сооружений, экологическое состояние территорий в пределах Сланцевского городского поселения. А также вопроса организации защиты Сланцевского городского поселения от подтопления с реализацией мероприятий: </w:t>
      </w:r>
    </w:p>
    <w:p>
      <w:pPr>
        <w:pStyle w:val="ConsPlusNormal"/>
        <w:spacing w:lineRule="atLeast" w:line="200"/>
        <w:ind w:firstLine="600"/>
        <w:jc w:val="both"/>
        <w:rPr/>
      </w:pPr>
      <w:r>
        <w:rPr>
          <w:rFonts w:cs="Times New Roman" w:ascii="Times New Roman" w:hAnsi="Times New Roman"/>
          <w:color w:val="000000"/>
          <w:sz w:val="28"/>
          <w:szCs w:val="28"/>
        </w:rPr>
        <w:t>- строительство дренажных сооружений;</w:t>
      </w:r>
    </w:p>
    <w:p>
      <w:pPr>
        <w:pStyle w:val="Normal"/>
        <w:spacing w:before="0" w:after="29"/>
        <w:ind w:firstLine="708"/>
        <w:jc w:val="both"/>
        <w:rPr/>
      </w:pPr>
      <w:r>
        <w:rPr>
          <w:rFonts w:cs="Times New Roman"/>
          <w:sz w:val="28"/>
          <w:szCs w:val="28"/>
        </w:rPr>
        <w:t>-регулирование стока поверхностных вод;</w:t>
      </w:r>
    </w:p>
    <w:p>
      <w:pPr>
        <w:pStyle w:val="ConsPlusNormal"/>
        <w:spacing w:lineRule="atLeast" w:line="200"/>
        <w:ind w:firstLine="600"/>
        <w:jc w:val="both"/>
        <w:rPr/>
      </w:pPr>
      <w:r>
        <w:rPr>
          <w:rFonts w:cs="Times New Roman" w:ascii="Times New Roman" w:hAnsi="Times New Roman"/>
          <w:color w:val="000000"/>
          <w:sz w:val="28"/>
          <w:szCs w:val="28"/>
        </w:rPr>
        <w:t>-прочистка открытых водотоков и других элементов естественного дренирования.</w:t>
      </w:r>
    </w:p>
    <w:p>
      <w:pPr>
        <w:pStyle w:val="ConsPlusNormal"/>
        <w:spacing w:lineRule="atLeast" w:line="200"/>
        <w:ind w:firstLine="600"/>
        <w:jc w:val="both"/>
        <w:rPr/>
      </w:pPr>
      <w:r>
        <w:rPr>
          <w:rFonts w:cs="Times New Roman" w:ascii="Times New Roman" w:hAnsi="Times New Roman"/>
          <w:color w:val="000000"/>
          <w:sz w:val="28"/>
          <w:szCs w:val="28"/>
        </w:rPr>
        <w:t xml:space="preserve">Обеспечивая первичные меры пожарной безопасности на территории городского поселения, создана и работает добровольная пожарная дружина (место расположения ул.Красная). Добровольцы прошли обучение, обеспечены боевой одеждой пожарных, средствами пожаротушения. </w:t>
      </w:r>
    </w:p>
    <w:p>
      <w:pPr>
        <w:pStyle w:val="ConsPlusNormal"/>
        <w:spacing w:lineRule="atLeast" w:line="200"/>
        <w:ind w:firstLine="600"/>
        <w:jc w:val="both"/>
        <w:rPr/>
      </w:pPr>
      <w:r>
        <w:rPr>
          <w:rFonts w:cs="Times New Roman" w:ascii="Times New Roman" w:hAnsi="Times New Roman"/>
          <w:color w:val="000000"/>
          <w:sz w:val="28"/>
          <w:szCs w:val="28"/>
        </w:rPr>
        <w:t xml:space="preserve">В исправном состоянии содержатся пожарные водоисточники. </w:t>
      </w:r>
    </w:p>
    <w:p>
      <w:pPr>
        <w:pStyle w:val="Normal"/>
        <w:jc w:val="center"/>
        <w:rPr/>
      </w:pPr>
      <w:r>
        <w:rPr>
          <w:rFonts w:cs="Times New Roman"/>
          <w:b/>
          <w:sz w:val="28"/>
          <w:szCs w:val="28"/>
        </w:rPr>
        <w:t>Социальная сфера</w:t>
      </w:r>
    </w:p>
    <w:p>
      <w:pPr>
        <w:pStyle w:val="Normal"/>
        <w:jc w:val="center"/>
        <w:rPr/>
      </w:pPr>
      <w:r>
        <w:rPr>
          <w:rFonts w:cs="Times New Roman"/>
          <w:b/>
          <w:sz w:val="28"/>
          <w:szCs w:val="28"/>
        </w:rPr>
        <w:t>Образование</w:t>
      </w:r>
    </w:p>
    <w:p>
      <w:pPr>
        <w:pStyle w:val="Normal"/>
        <w:ind w:firstLine="700"/>
        <w:jc w:val="both"/>
        <w:rPr>
          <w:rFonts w:cs="Times New Roman"/>
          <w:sz w:val="28"/>
          <w:szCs w:val="28"/>
        </w:rPr>
      </w:pPr>
      <w:r>
        <w:rPr>
          <w:rFonts w:cs="Times New Roman"/>
          <w:sz w:val="28"/>
          <w:szCs w:val="28"/>
        </w:rPr>
        <w:t>2019 год - первый год деятельности муниципальной системы образования в условиях реализацииНационального проекта «Образование» и муниципальной программы «Развитие образования муниципального образования Сланцевский муниципальный район Ленинградской области на 2019-2024 годы.</w:t>
      </w:r>
    </w:p>
    <w:p>
      <w:pPr>
        <w:pStyle w:val="Normal"/>
        <w:ind w:firstLine="700"/>
        <w:jc w:val="both"/>
        <w:rPr>
          <w:rFonts w:cs="Times New Roman"/>
          <w:sz w:val="28"/>
          <w:szCs w:val="28"/>
        </w:rPr>
      </w:pPr>
      <w:r>
        <w:rPr>
          <w:rFonts w:cs="Times New Roman"/>
          <w:sz w:val="28"/>
          <w:szCs w:val="28"/>
        </w:rPr>
        <w:t>В 2019 году на территории Сланцевского муниципального района реализовывались три региональных проекта национального проекта «Образование»:</w:t>
      </w:r>
    </w:p>
    <w:p>
      <w:pPr>
        <w:pStyle w:val="Normal"/>
        <w:widowControl/>
        <w:suppressAutoHyphens w:val="false"/>
        <w:ind w:firstLine="720"/>
        <w:jc w:val="both"/>
        <w:rPr>
          <w:rFonts w:cs="Times New Roman"/>
          <w:sz w:val="28"/>
          <w:szCs w:val="28"/>
        </w:rPr>
      </w:pPr>
      <w:r>
        <w:rPr>
          <w:rFonts w:cs="Times New Roman"/>
          <w:sz w:val="28"/>
          <w:szCs w:val="28"/>
        </w:rPr>
        <w:t xml:space="preserve">В рамках реализации регионального проекта </w:t>
      </w:r>
      <w:r>
        <w:rPr>
          <w:rFonts w:cs="Times New Roman"/>
          <w:b/>
          <w:sz w:val="28"/>
          <w:szCs w:val="28"/>
        </w:rPr>
        <w:t>«Поддержка семей, имеющих детей».</w:t>
      </w:r>
    </w:p>
    <w:p>
      <w:pPr>
        <w:pStyle w:val="Normal"/>
        <w:ind w:firstLine="720"/>
        <w:jc w:val="both"/>
        <w:rPr>
          <w:rFonts w:cs="Times New Roman"/>
          <w:sz w:val="28"/>
          <w:szCs w:val="28"/>
        </w:rPr>
      </w:pPr>
      <w:r>
        <w:rPr>
          <w:rFonts w:cs="Times New Roman"/>
          <w:sz w:val="28"/>
          <w:szCs w:val="28"/>
        </w:rPr>
        <w:t>С 01 сентября 2019 года на базе двух детских садов МДОУ «Сланцевский детский сад №10» и МДОУ «Сланцевский детский сад №3» функционируют консультационные центры с целью повышения компетентности родителей обучающихся в вопросах образования и воспитания, в том числе для раннего развития детей в возрасте до трех лет. По итогам года предоставлено 355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Normal"/>
        <w:ind w:firstLine="709"/>
        <w:jc w:val="both"/>
        <w:rPr>
          <w:rFonts w:cs="Times New Roman"/>
          <w:sz w:val="28"/>
          <w:szCs w:val="28"/>
        </w:rPr>
      </w:pPr>
      <w:r>
        <w:rPr>
          <w:rFonts w:cs="Times New Roman"/>
          <w:sz w:val="28"/>
          <w:szCs w:val="28"/>
        </w:rPr>
        <w:t>Доля граждан, положительно оценивших качество услуг психолого – педагогической, методической и консультативной помощи, от общего числа обратившихся за получением услуги - 100%.</w:t>
      </w:r>
    </w:p>
    <w:p>
      <w:pPr>
        <w:pStyle w:val="Normal"/>
        <w:ind w:firstLine="709"/>
        <w:jc w:val="both"/>
        <w:rPr>
          <w:rFonts w:cs="Times New Roman"/>
          <w:sz w:val="28"/>
          <w:szCs w:val="28"/>
        </w:rPr>
      </w:pPr>
      <w:r>
        <w:rPr>
          <w:rFonts w:cs="Times New Roman"/>
          <w:sz w:val="28"/>
          <w:szCs w:val="28"/>
        </w:rPr>
        <w:t>В 2020 году работа по реализации регионального проекта будет продолжена.</w:t>
      </w:r>
    </w:p>
    <w:p>
      <w:pPr>
        <w:pStyle w:val="Normal"/>
        <w:ind w:firstLine="709"/>
        <w:jc w:val="both"/>
        <w:rPr>
          <w:rFonts w:cs="Times New Roman"/>
          <w:sz w:val="28"/>
          <w:szCs w:val="28"/>
        </w:rPr>
      </w:pPr>
      <w:r>
        <w:rPr>
          <w:rFonts w:cs="Times New Roman"/>
          <w:sz w:val="28"/>
          <w:szCs w:val="28"/>
        </w:rPr>
        <w:t>В рамках регионального проекта «Поддержка семей, имеющих детей» начал работу федеральный портал информационно-просветительской поддержки родителей «Растим детей. Навигатор для современных родителей». На портале размещены актуальные информационные и методические материалы по различным тематикам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во всех субъектах Российской Федерации.</w:t>
      </w:r>
    </w:p>
    <w:p>
      <w:pPr>
        <w:pStyle w:val="Normal"/>
        <w:ind w:firstLine="709"/>
        <w:jc w:val="both"/>
        <w:rPr>
          <w:rFonts w:cs="Times New Roman"/>
          <w:sz w:val="28"/>
          <w:szCs w:val="28"/>
        </w:rPr>
      </w:pPr>
      <w:r>
        <w:rPr>
          <w:rFonts w:cs="Times New Roman"/>
          <w:sz w:val="28"/>
          <w:szCs w:val="28"/>
        </w:rPr>
        <w:t>Информация о работе федерального портала размещена на официальном сайте в сети «Интернет» комитета образования  администрации Сланцевского муниципального района, а также на официальных сайтах образовательных организаций, подведомственных комитету образования, родителям обучающихся дошкольных образовательных организаций и общеобразовательных организаций выданы памятки с электронным адресом  портала.</w:t>
      </w:r>
    </w:p>
    <w:p>
      <w:pPr>
        <w:pStyle w:val="Normal"/>
        <w:widowControl/>
        <w:suppressAutoHyphens w:val="false"/>
        <w:ind w:firstLine="720"/>
        <w:jc w:val="both"/>
        <w:rPr>
          <w:rFonts w:cs="Times New Roman"/>
          <w:sz w:val="28"/>
          <w:szCs w:val="28"/>
        </w:rPr>
      </w:pPr>
      <w:r>
        <w:rPr>
          <w:rFonts w:cs="Times New Roman"/>
          <w:sz w:val="28"/>
          <w:szCs w:val="28"/>
        </w:rPr>
        <w:t xml:space="preserve">В рамках реализации регионального проекта </w:t>
      </w:r>
      <w:r>
        <w:rPr>
          <w:rFonts w:cs="Times New Roman"/>
          <w:bCs/>
          <w:sz w:val="28"/>
          <w:szCs w:val="28"/>
        </w:rPr>
        <w:t>«Современная школа»</w:t>
      </w:r>
      <w:r>
        <w:rPr>
          <w:rFonts w:cs="Times New Roman"/>
          <w:sz w:val="28"/>
          <w:szCs w:val="28"/>
        </w:rPr>
        <w:t xml:space="preserve">в МОУ «Старопольская СОШ», 01.09.2019 был открыт центр образования цифрового и гуманитарного профилей «Точка роста». Приобретена учебная мебель, оборудование и выполнен ремонт двух классных помещений в соответствии с разработанным в Ленинградской области брендбуком. </w:t>
      </w:r>
    </w:p>
    <w:p>
      <w:pPr>
        <w:pStyle w:val="Normal"/>
        <w:ind w:firstLine="709"/>
        <w:jc w:val="both"/>
        <w:rPr>
          <w:rFonts w:cs="Times New Roman"/>
          <w:sz w:val="28"/>
          <w:szCs w:val="28"/>
        </w:rPr>
      </w:pPr>
      <w:r>
        <w:rPr>
          <w:rFonts w:cs="Times New Roman"/>
          <w:sz w:val="28"/>
          <w:szCs w:val="28"/>
        </w:rPr>
        <w:t>Оборудовано 2 кабинета:</w:t>
      </w:r>
    </w:p>
    <w:p>
      <w:pPr>
        <w:pStyle w:val="Normal"/>
        <w:ind w:firstLine="709"/>
        <w:jc w:val="both"/>
        <w:rPr>
          <w:rFonts w:cs="Times New Roman"/>
          <w:sz w:val="28"/>
          <w:szCs w:val="28"/>
        </w:rPr>
      </w:pPr>
      <w:r>
        <w:rPr>
          <w:rFonts w:cs="Times New Roman"/>
          <w:sz w:val="28"/>
          <w:szCs w:val="28"/>
        </w:rPr>
        <w:t xml:space="preserve">-кабинет для учебной деятельности, в котором реализуются образовательные программы </w:t>
        <w:tab/>
        <w:t>по учебным предметам: технология. ОБЖ, информатика и ИКТ.</w:t>
      </w:r>
    </w:p>
    <w:p>
      <w:pPr>
        <w:pStyle w:val="Normal"/>
        <w:ind w:firstLine="709"/>
        <w:jc w:val="both"/>
        <w:rPr>
          <w:rFonts w:cs="Times New Roman"/>
          <w:sz w:val="28"/>
          <w:szCs w:val="28"/>
        </w:rPr>
      </w:pPr>
      <w:r>
        <w:rPr>
          <w:rFonts w:cs="Times New Roman"/>
          <w:sz w:val="28"/>
          <w:szCs w:val="28"/>
        </w:rPr>
        <w:t>-кабинет для занятий внеурочной деятельностью, где оборудованы шахматная гостиная и коворкинг-зона, где реализуются 4 программы дополнительного образования, в т.ч. для одна обучающихся дошкольного возраста.</w:t>
      </w:r>
    </w:p>
    <w:p>
      <w:pPr>
        <w:pStyle w:val="Normal"/>
        <w:ind w:firstLine="720"/>
        <w:jc w:val="both"/>
        <w:rPr>
          <w:rFonts w:cs="Times New Roman"/>
          <w:sz w:val="28"/>
          <w:szCs w:val="28"/>
        </w:rPr>
      </w:pPr>
      <w:r>
        <w:rPr>
          <w:rFonts w:cs="Times New Roman"/>
          <w:sz w:val="28"/>
          <w:szCs w:val="28"/>
        </w:rPr>
        <w:t xml:space="preserve">Обеспечено участие 5 педагогических работников МОУ «Старорольская СОШ» в дистанционном и очном обучении для реализации образовательных программ с использованием поставленного оборудования. </w:t>
      </w:r>
    </w:p>
    <w:p>
      <w:pPr>
        <w:pStyle w:val="Normal"/>
        <w:shd w:val="clear" w:color="auto" w:fill="FFFFFF"/>
        <w:ind w:firstLine="709"/>
        <w:jc w:val="both"/>
        <w:rPr>
          <w:rFonts w:cs="Times New Roman"/>
          <w:sz w:val="28"/>
          <w:szCs w:val="28"/>
        </w:rPr>
      </w:pPr>
      <w:r>
        <w:rPr>
          <w:rFonts w:cs="Times New Roman"/>
          <w:sz w:val="28"/>
          <w:szCs w:val="28"/>
        </w:rPr>
        <w:t>В МОУ «Старопольская СОШ» удалось обеспечить реализацию задачу проекта «Современная школа» в части обновления методов обучения и воспитания, образовательных технологий по отдельным учебным предметам и курсам внеурочной деятельности.</w:t>
      </w:r>
    </w:p>
    <w:p>
      <w:pPr>
        <w:pStyle w:val="Normal"/>
        <w:shd w:val="clear" w:color="auto" w:fill="FFFFFF"/>
        <w:ind w:firstLine="709"/>
        <w:jc w:val="both"/>
        <w:rPr>
          <w:rFonts w:cs="Times New Roman"/>
          <w:sz w:val="28"/>
          <w:szCs w:val="28"/>
        </w:rPr>
      </w:pPr>
      <w:r>
        <w:rPr>
          <w:rFonts w:cs="Times New Roman"/>
          <w:sz w:val="28"/>
          <w:szCs w:val="28"/>
        </w:rPr>
        <w:t>Центр «Точка роста» участвует в реализации задачи формирования единого образовательного пространства района: в период с сентября по декабрь 2019 на его базе состоялись социокультурные мероприятия для родителей и обучающихся МОУ «Старопольская СОШ», обучающихся МОУ «Овсищенская начальная школа-детский сад», МОУ «Сланцевская СОШ №3».</w:t>
      </w:r>
    </w:p>
    <w:p>
      <w:pPr>
        <w:pStyle w:val="Normal"/>
        <w:ind w:firstLine="709"/>
        <w:jc w:val="both"/>
        <w:rPr>
          <w:rFonts w:cs="Times New Roman"/>
          <w:sz w:val="28"/>
          <w:szCs w:val="28"/>
        </w:rPr>
      </w:pPr>
      <w:r>
        <w:rPr>
          <w:rFonts w:cs="Times New Roman"/>
          <w:sz w:val="28"/>
          <w:szCs w:val="28"/>
        </w:rPr>
        <w:t>Реализация регионального проекта «Успех каждого ребенка» на территории района была направлена на решение его задачи-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pPr>
        <w:pStyle w:val="Normal"/>
        <w:ind w:firstLine="709"/>
        <w:jc w:val="both"/>
        <w:rPr>
          <w:rFonts w:cs="Times New Roman"/>
          <w:sz w:val="28"/>
          <w:szCs w:val="28"/>
        </w:rPr>
      </w:pPr>
      <w:r>
        <w:rPr>
          <w:rFonts w:cs="Times New Roman"/>
          <w:sz w:val="28"/>
          <w:szCs w:val="28"/>
        </w:rPr>
        <w:t>В части поддержки способностей и талантов детей особое место занимает реализация дополнительных образовательных программ.</w:t>
      </w:r>
    </w:p>
    <w:p>
      <w:pPr>
        <w:pStyle w:val="Normal"/>
        <w:ind w:firstLine="709"/>
        <w:jc w:val="both"/>
        <w:rPr>
          <w:rFonts w:cs="Times New Roman"/>
          <w:sz w:val="28"/>
          <w:szCs w:val="28"/>
        </w:rPr>
      </w:pPr>
      <w:r>
        <w:rPr>
          <w:rFonts w:cs="Times New Roman"/>
          <w:sz w:val="28"/>
          <w:szCs w:val="28"/>
        </w:rPr>
        <w:t>В 2019 году была проведена необходимая организационная работа по включению образовательных организаций (ОО) района в работу регионального и муниципального сегмента общедоступного федерального навигатора по программам дополнительного образования. Навигатор дополнительного образования Ленинградской области: с марта по май 2019 года все 22 ОО зарегистрировались в Навигаторе и внесли информацию обо всех реализуемых дополнительных общеразвивающих программах. В октябре 2019 года в ИС зарегистрировался Сланцевский индустриальный техникум. На 31.12.2019 в Навигаторе размещена информация о 220 дополнительных общеразвивающих программах.</w:t>
      </w:r>
    </w:p>
    <w:p>
      <w:pPr>
        <w:pStyle w:val="Normal"/>
        <w:shd w:val="clear" w:color="auto" w:fill="FFFFFF"/>
        <w:ind w:firstLine="709"/>
        <w:jc w:val="both"/>
        <w:rPr>
          <w:rFonts w:cs="Times New Roman"/>
          <w:sz w:val="28"/>
          <w:szCs w:val="28"/>
        </w:rPr>
      </w:pPr>
      <w:r>
        <w:rPr>
          <w:rFonts w:cs="Times New Roman"/>
          <w:sz w:val="28"/>
          <w:szCs w:val="28"/>
        </w:rPr>
        <w:t xml:space="preserve">В соответствии с данными, внесенными ОО в ИС «Навигатор дополнительного образования Ленинградской области», в Сланцевском муниципальном районе охват детей в возрасте от 5 до 18 лет, обучающихся по дополнительным образовательным программам (удельный вес численности детей, получающих услуги дополнительного образования, в общей численности детей в возрасте от 5 до 18 лет) по состоянию на 01 января 2019 года составляет 76,6% (4181 чел.) от численности детей данной возрастной категории. (плановое значение на 2019 год – 76%). </w:t>
      </w:r>
    </w:p>
    <w:p>
      <w:pPr>
        <w:pStyle w:val="Normal"/>
        <w:shd w:val="clear" w:color="auto" w:fill="FFFFFF"/>
        <w:ind w:firstLine="709"/>
        <w:jc w:val="both"/>
        <w:rPr>
          <w:rFonts w:cs="Times New Roman"/>
          <w:sz w:val="28"/>
          <w:szCs w:val="28"/>
        </w:rPr>
      </w:pPr>
      <w:r>
        <w:rPr>
          <w:rFonts w:cs="Times New Roman"/>
          <w:sz w:val="28"/>
          <w:szCs w:val="28"/>
        </w:rPr>
        <w:t>В решении задачи профессиональной ориентации обучающихся данного регионального проекта в 2019 году район включился в реализацию проекта по ранней профессиональной ориентации учащихся 6−11-х классов «Билет в будущее», который в 2019 году стартовал по всей России. Пилотной площадкой в 2019 году в Сланцевском районе определена МОУ «Сланцевская СОШ № 3» с охватом 60 обучающихся 8-х классов. По состоянию на 31.12.2019 обеспечено: регистрация на цифровой платформе проекта «Билет в будущее», прохождение тестирования и реализация практических мероприятий в центре образования цифрового и гуманитарного профилей «Точка роста» на базе МОУ «Старопольская СОШ», в ГБОУ «Сланцевский индустриальный техникум», на ОАО «Сланцевский цементный завод «ЦЕСЛА». В рамках проведенных мероприятий обучающимся продемонстрированы следующие компетенции: VR/AR – квантум, Аэроквантум, Промробоквантум, Энержиквантум, IT- квантум. Таким образом плановое значение участников проекта «Билет в будущее» для района на 2019 год -49 человек достигнуто.</w:t>
      </w:r>
    </w:p>
    <w:p>
      <w:pPr>
        <w:pStyle w:val="Normal"/>
        <w:ind w:firstLine="700"/>
        <w:jc w:val="both"/>
        <w:rPr>
          <w:rFonts w:cs="Times New Roman"/>
          <w:sz w:val="28"/>
          <w:szCs w:val="28"/>
        </w:rPr>
      </w:pPr>
      <w:r>
        <w:rPr>
          <w:rFonts w:cs="Times New Roman"/>
          <w:sz w:val="28"/>
          <w:szCs w:val="28"/>
        </w:rPr>
        <w:t>В 2019 году продолжилось создание условий для обеспечения конституционного права граждан на получение образования:</w:t>
      </w:r>
    </w:p>
    <w:p>
      <w:pPr>
        <w:pStyle w:val="Normal"/>
        <w:ind w:firstLine="709"/>
        <w:jc w:val="both"/>
        <w:rPr>
          <w:rFonts w:cs="Times New Roman"/>
          <w:sz w:val="28"/>
          <w:szCs w:val="28"/>
        </w:rPr>
      </w:pPr>
      <w:r>
        <w:rPr>
          <w:rFonts w:cs="Times New Roman"/>
          <w:sz w:val="28"/>
          <w:szCs w:val="28"/>
        </w:rPr>
        <w:t>- 100% доступность школьного образования, в том числе для детей до 3-х лет;</w:t>
      </w:r>
    </w:p>
    <w:p>
      <w:pPr>
        <w:pStyle w:val="Normal"/>
        <w:ind w:firstLine="709"/>
        <w:jc w:val="both"/>
        <w:rPr>
          <w:rFonts w:cs="Times New Roman"/>
          <w:sz w:val="28"/>
          <w:szCs w:val="28"/>
        </w:rPr>
      </w:pPr>
      <w:r>
        <w:rPr>
          <w:rFonts w:cs="Times New Roman"/>
          <w:sz w:val="28"/>
          <w:szCs w:val="28"/>
        </w:rPr>
        <w:t>- обеспечена односменная организация образовательной деятельности в общеобразовательных организациях;</w:t>
      </w:r>
    </w:p>
    <w:p>
      <w:pPr>
        <w:pStyle w:val="Normal"/>
        <w:ind w:firstLine="709"/>
        <w:jc w:val="both"/>
        <w:rPr>
          <w:rFonts w:cs="Times New Roman"/>
          <w:sz w:val="28"/>
          <w:szCs w:val="28"/>
        </w:rPr>
      </w:pPr>
      <w:r>
        <w:rPr>
          <w:rFonts w:cs="Times New Roman"/>
          <w:sz w:val="28"/>
          <w:szCs w:val="28"/>
        </w:rPr>
        <w:t>- организован систематический подвоз обучающихся: в пяти общеобразовательных организациях 8 школьных автобусов.</w:t>
      </w:r>
    </w:p>
    <w:p>
      <w:pPr>
        <w:pStyle w:val="Normal"/>
        <w:ind w:firstLine="709"/>
        <w:jc w:val="both"/>
        <w:rPr>
          <w:rFonts w:cs="Times New Roman"/>
          <w:sz w:val="28"/>
          <w:szCs w:val="28"/>
        </w:rPr>
      </w:pPr>
      <w:r>
        <w:rPr>
          <w:rFonts w:cs="Times New Roman"/>
          <w:sz w:val="28"/>
          <w:szCs w:val="28"/>
        </w:rPr>
        <w:t>- ежемесячно около 300 обучающихся школ пользуются льготным проездом на муниципальном транспорте</w:t>
      </w:r>
    </w:p>
    <w:p>
      <w:pPr>
        <w:pStyle w:val="Normal"/>
        <w:ind w:firstLine="709"/>
        <w:jc w:val="both"/>
        <w:rPr>
          <w:rFonts w:cs="Times New Roman"/>
          <w:sz w:val="28"/>
          <w:szCs w:val="28"/>
        </w:rPr>
      </w:pPr>
      <w:r>
        <w:rPr>
          <w:rFonts w:cs="Times New Roman"/>
          <w:sz w:val="28"/>
          <w:szCs w:val="28"/>
        </w:rPr>
        <w:t>- организовано дистанционное обучение для 4 обучающихся детей -инвалидов.</w:t>
      </w:r>
    </w:p>
    <w:p>
      <w:pPr>
        <w:pStyle w:val="Normal"/>
        <w:ind w:firstLine="700"/>
        <w:jc w:val="both"/>
        <w:rPr>
          <w:rFonts w:cs="Times New Roman"/>
          <w:sz w:val="28"/>
          <w:szCs w:val="28"/>
        </w:rPr>
      </w:pPr>
      <w:r>
        <w:rPr>
          <w:rFonts w:cs="Times New Roman"/>
          <w:sz w:val="28"/>
          <w:szCs w:val="28"/>
        </w:rPr>
        <w:t xml:space="preserve">Зданий, в которых ведётся образовательная деятельность, находящихся в аварийном состоянии, нет. </w:t>
      </w:r>
    </w:p>
    <w:p>
      <w:pPr>
        <w:pStyle w:val="Normal"/>
        <w:ind w:firstLine="700"/>
        <w:jc w:val="both"/>
        <w:rPr>
          <w:rFonts w:cs="Times New Roman"/>
          <w:sz w:val="28"/>
          <w:szCs w:val="28"/>
        </w:rPr>
      </w:pPr>
      <w:r>
        <w:rPr>
          <w:rFonts w:cs="Times New Roman"/>
          <w:sz w:val="28"/>
          <w:szCs w:val="28"/>
        </w:rPr>
        <w:t>В 2019 году здание МОУ «Сланцевская СОШ № 3» по адресу ул.Кирова11 включено в программу реновации в рамках государственной программы «Современное образование Ленинградской области». Заключен муниципальный контракт на выполнение ремонтных работ в 2019-2020 годах на сумму 163305,8 тыс. руб., в том числе 12% софинансирование из местного бюджета.</w:t>
      </w:r>
    </w:p>
    <w:p>
      <w:pPr>
        <w:pStyle w:val="Normal"/>
        <w:ind w:firstLine="700"/>
        <w:jc w:val="both"/>
        <w:rPr>
          <w:rFonts w:cs="Times New Roman"/>
          <w:sz w:val="28"/>
          <w:szCs w:val="28"/>
        </w:rPr>
      </w:pPr>
      <w:r>
        <w:rPr>
          <w:rFonts w:cs="Times New Roman"/>
          <w:sz w:val="28"/>
          <w:szCs w:val="28"/>
        </w:rPr>
        <w:t>Продолжается поэтапный ремонт помещений МОУ «Выскатская ООШ». В 2019 году на эти цели направлено 4696,7 тыс. руб. (в т.ч. 848,2 тыс. руб. из местного бюджета).</w:t>
      </w:r>
    </w:p>
    <w:p>
      <w:pPr>
        <w:pStyle w:val="Normal"/>
        <w:ind w:firstLine="700"/>
        <w:jc w:val="both"/>
        <w:rPr>
          <w:rFonts w:cs="Times New Roman"/>
          <w:sz w:val="28"/>
          <w:szCs w:val="28"/>
        </w:rPr>
      </w:pPr>
      <w:r>
        <w:rPr>
          <w:rFonts w:cs="Times New Roman"/>
          <w:sz w:val="28"/>
          <w:szCs w:val="28"/>
        </w:rPr>
        <w:t>На территории Сланцевского муниципального района продолжена работа по обеспечению доступности объектов и услуг. В 2019 году приобретены телескопические пандусы в МОУ «Выскатская ООШ», МОУ «Новосельская ОШ», на базе детского сада №15 проведены ремонтные работы по оборудованию входной группы в здание. На эти цели направлено 1848,9 тыс. руб. (в т.ч. 200,0 тыс. руб. из местного бюджета).</w:t>
      </w:r>
    </w:p>
    <w:p>
      <w:pPr>
        <w:pStyle w:val="Normal"/>
        <w:ind w:firstLine="700"/>
        <w:jc w:val="both"/>
        <w:rPr>
          <w:rFonts w:cs="Times New Roman"/>
          <w:sz w:val="28"/>
          <w:szCs w:val="28"/>
        </w:rPr>
      </w:pPr>
      <w:r>
        <w:rPr>
          <w:rFonts w:cs="Times New Roman"/>
          <w:sz w:val="28"/>
          <w:szCs w:val="28"/>
        </w:rPr>
        <w:t>Обеспечены меры по дополнительному оснащению единственного в районе пункта приема единого государственного экзамена оборудованием и программным обеспечением для получения экзаменационных материалов по сети «Интернет» и сканирования экзаменационных материалов в аудиториях.</w:t>
      </w:r>
    </w:p>
    <w:p>
      <w:pPr>
        <w:pStyle w:val="Normal"/>
        <w:ind w:firstLine="700"/>
        <w:jc w:val="both"/>
        <w:rPr>
          <w:rFonts w:cs="Times New Roman"/>
          <w:sz w:val="28"/>
          <w:szCs w:val="28"/>
        </w:rPr>
      </w:pPr>
      <w:r>
        <w:rPr>
          <w:rFonts w:cs="Times New Roman"/>
          <w:sz w:val="28"/>
          <w:szCs w:val="28"/>
        </w:rPr>
        <w:t>В 2019 г. при проведении ЕГЭ апробированы новые технологии приема- передачи экзаменационных материалов ЕГЭ с использованием Интернет – сети. Наш пункт проведения является высокотехнологичным: все используемые в России технологии при проведении ЕГЭ, применяются в пункте на базе МОУ «Сланцевская СОШ № 3».</w:t>
      </w:r>
    </w:p>
    <w:p>
      <w:pPr>
        <w:pStyle w:val="Normal"/>
        <w:ind w:firstLine="697"/>
        <w:jc w:val="both"/>
        <w:rPr>
          <w:rFonts w:cs="Times New Roman"/>
          <w:sz w:val="28"/>
          <w:szCs w:val="28"/>
        </w:rPr>
      </w:pPr>
      <w:r>
        <w:rPr>
          <w:rFonts w:cs="Times New Roman"/>
          <w:sz w:val="28"/>
          <w:szCs w:val="28"/>
        </w:rPr>
        <w:t>Результаты ЕГЭ позволяют говорить о конкурентоспособном образовании в районе:</w:t>
      </w:r>
    </w:p>
    <w:p>
      <w:pPr>
        <w:pStyle w:val="Normal"/>
        <w:ind w:firstLine="697"/>
        <w:jc w:val="both"/>
        <w:rPr>
          <w:rFonts w:cs="Times New Roman"/>
          <w:sz w:val="28"/>
          <w:szCs w:val="28"/>
        </w:rPr>
      </w:pPr>
      <w:r>
        <w:rPr>
          <w:rFonts w:cs="Times New Roman"/>
          <w:sz w:val="28"/>
          <w:szCs w:val="28"/>
        </w:rPr>
        <w:t>- 100% выпускников 11 класса 2019 года своевременно получили аттестат о среднем общем образовании по итогам ГИА в основной период.</w:t>
      </w:r>
    </w:p>
    <w:p>
      <w:pPr>
        <w:pStyle w:val="Normal"/>
        <w:ind w:firstLine="697"/>
        <w:jc w:val="both"/>
        <w:rPr>
          <w:rFonts w:cs="Times New Roman"/>
          <w:sz w:val="28"/>
          <w:szCs w:val="28"/>
        </w:rPr>
      </w:pPr>
      <w:r>
        <w:rPr>
          <w:rFonts w:cs="Times New Roman"/>
          <w:sz w:val="28"/>
          <w:szCs w:val="28"/>
        </w:rPr>
        <w:t>- среднерайонный балл выше среднеобластного по 6 (-3 к АППГ) общеобразовательным предметам.</w:t>
      </w:r>
    </w:p>
    <w:p>
      <w:pPr>
        <w:pStyle w:val="Normal"/>
        <w:ind w:firstLine="697"/>
        <w:jc w:val="both"/>
        <w:rPr>
          <w:rFonts w:cs="Times New Roman"/>
          <w:sz w:val="28"/>
          <w:szCs w:val="28"/>
        </w:rPr>
      </w:pPr>
      <w:r>
        <w:rPr>
          <w:rFonts w:cs="Times New Roman"/>
          <w:sz w:val="28"/>
          <w:szCs w:val="28"/>
        </w:rPr>
        <w:t>- положительная динамика среднерайонного тестового балла по 6 (-2 к АППГ) общеобразовательным предметам.</w:t>
      </w:r>
    </w:p>
    <w:p>
      <w:pPr>
        <w:pStyle w:val="Normal"/>
        <w:ind w:firstLine="697"/>
        <w:jc w:val="both"/>
        <w:rPr>
          <w:rFonts w:cs="Times New Roman"/>
          <w:sz w:val="28"/>
          <w:szCs w:val="28"/>
        </w:rPr>
      </w:pPr>
      <w:r>
        <w:rPr>
          <w:rFonts w:cs="Times New Roman"/>
          <w:sz w:val="28"/>
          <w:szCs w:val="28"/>
        </w:rPr>
        <w:t>- подавляющее большинство выпускников, имеющих результаты в олимпиадном движении, школьников, награждённых медалью «За особые успехи в учении», высокобалльными результатами ЕГЭ подтвердили объективность своих достижений;</w:t>
      </w:r>
    </w:p>
    <w:p>
      <w:pPr>
        <w:pStyle w:val="Normal"/>
        <w:ind w:firstLine="697"/>
        <w:jc w:val="both"/>
        <w:rPr>
          <w:rFonts w:cs="Times New Roman"/>
          <w:sz w:val="28"/>
          <w:szCs w:val="28"/>
        </w:rPr>
      </w:pPr>
      <w:r>
        <w:rPr>
          <w:rFonts w:cs="Times New Roman"/>
          <w:sz w:val="28"/>
          <w:szCs w:val="28"/>
        </w:rPr>
        <w:t>- 1 обучающийся МОУ «Сланцевская СОШ №1» получил максимальных 100 баллов по двум учебным предметам: русский язык и физика. Таких выпускников в 2019 году в Ленинградской области было 2 человека.</w:t>
      </w:r>
    </w:p>
    <w:p>
      <w:pPr>
        <w:pStyle w:val="Normal"/>
        <w:ind w:firstLine="700"/>
        <w:jc w:val="both"/>
        <w:rPr>
          <w:rFonts w:cs="Times New Roman"/>
          <w:sz w:val="28"/>
          <w:szCs w:val="28"/>
        </w:rPr>
      </w:pPr>
      <w:r>
        <w:rPr>
          <w:rFonts w:cs="Times New Roman"/>
          <w:sz w:val="28"/>
          <w:szCs w:val="28"/>
        </w:rPr>
        <w:tab/>
        <w:t>Комитет образования, является уполномоченным органом по исполнению государственных полномочий по опеке и попечительству.</w:t>
      </w:r>
    </w:p>
    <w:p>
      <w:pPr>
        <w:pStyle w:val="Normal"/>
        <w:ind w:firstLine="700"/>
        <w:jc w:val="both"/>
        <w:rPr>
          <w:rFonts w:cs="Times New Roman"/>
          <w:sz w:val="28"/>
          <w:szCs w:val="28"/>
        </w:rPr>
      </w:pPr>
      <w:r>
        <w:rPr>
          <w:rFonts w:cs="Times New Roman"/>
          <w:sz w:val="28"/>
          <w:szCs w:val="28"/>
        </w:rPr>
        <w:t>В 2019 году в Сланцевском районе состояло на учете 135 детей-сирот и детей, оставшихся без попечения родителей, проживающих в замещающих семьях, в том числе: - под опекой (попечительством) - 81; - в приемных семьях - 54. В течение года в семьи принято 15 детей-сирот и детей, оставшихся без попечения.</w:t>
      </w:r>
    </w:p>
    <w:p>
      <w:pPr>
        <w:pStyle w:val="Normal"/>
        <w:ind w:firstLine="700"/>
        <w:jc w:val="both"/>
        <w:rPr>
          <w:rFonts w:cs="Times New Roman"/>
          <w:sz w:val="28"/>
          <w:szCs w:val="28"/>
        </w:rPr>
      </w:pPr>
      <w:r>
        <w:rPr>
          <w:rFonts w:cs="Times New Roman"/>
          <w:sz w:val="28"/>
          <w:szCs w:val="28"/>
        </w:rPr>
        <w:t>В 2019 году своевременно обеспечивалась реализация законодательства РФ в части получения мер социальной поддержки. Все подопечные, имеющие право на получение денежных средств на содержание и проезд получали данную выплату в размере, установленном Правительством Ленинградской области: - дети до 6 лет- 8856, 00 руб.;- дети от 6 до 18 лет – 11575, 00 руб.</w:t>
      </w:r>
    </w:p>
    <w:p>
      <w:pPr>
        <w:pStyle w:val="Normal"/>
        <w:ind w:firstLine="720"/>
        <w:jc w:val="both"/>
        <w:rPr/>
      </w:pPr>
      <w:r>
        <w:rPr>
          <w:rFonts w:cs="Times New Roman"/>
          <w:bCs/>
          <w:iCs/>
          <w:sz w:val="28"/>
          <w:szCs w:val="28"/>
        </w:rPr>
        <w:t>Обеспечение реализации государственных гарантий для детей-сирот и детей, оставшихся без попечения родителей в 2019 году.</w:t>
      </w:r>
    </w:p>
    <w:p>
      <w:pPr>
        <w:pStyle w:val="Normal"/>
        <w:ind w:firstLine="720"/>
        <w:jc w:val="both"/>
        <w:rPr>
          <w:rFonts w:cs="Times New Roman"/>
          <w:bCs/>
          <w:iCs/>
          <w:sz w:val="28"/>
          <w:szCs w:val="28"/>
        </w:rPr>
      </w:pPr>
      <w:r>
        <w:rPr>
          <w:rFonts w:cs="Times New Roman"/>
          <w:bCs/>
          <w:iCs/>
          <w:sz w:val="28"/>
          <w:szCs w:val="28"/>
        </w:rPr>
        <w:t>Содержание:</w:t>
      </w:r>
    </w:p>
    <w:p>
      <w:pPr>
        <w:pStyle w:val="Normal"/>
        <w:ind w:firstLine="720"/>
        <w:jc w:val="both"/>
        <w:rPr>
          <w:rFonts w:cs="Times New Roman"/>
          <w:bCs/>
          <w:iCs/>
          <w:sz w:val="28"/>
          <w:szCs w:val="28"/>
        </w:rPr>
      </w:pPr>
      <w:r>
        <w:rPr>
          <w:rFonts w:cs="Times New Roman"/>
          <w:bCs/>
          <w:iCs/>
          <w:sz w:val="28"/>
          <w:szCs w:val="28"/>
        </w:rPr>
        <w:t xml:space="preserve"> </w:t>
      </w:r>
      <w:r>
        <w:rPr>
          <w:rFonts w:cs="Times New Roman"/>
          <w:bCs/>
          <w:iCs/>
          <w:sz w:val="28"/>
          <w:szCs w:val="28"/>
        </w:rPr>
        <w:t>- дети до 6 лет- 8856, 00 руб.;</w:t>
      </w:r>
    </w:p>
    <w:p>
      <w:pPr>
        <w:pStyle w:val="Normal"/>
        <w:ind w:firstLine="720"/>
        <w:jc w:val="both"/>
        <w:rPr>
          <w:rFonts w:cs="Times New Roman"/>
          <w:bCs/>
          <w:iCs/>
          <w:sz w:val="28"/>
          <w:szCs w:val="28"/>
        </w:rPr>
      </w:pPr>
      <w:r>
        <w:rPr>
          <w:rFonts w:cs="Times New Roman"/>
          <w:bCs/>
          <w:iCs/>
          <w:sz w:val="28"/>
          <w:szCs w:val="28"/>
        </w:rPr>
        <w:t>- дети от 6 до 18 лет – 11575, 00 руб.</w:t>
      </w:r>
    </w:p>
    <w:p>
      <w:pPr>
        <w:pStyle w:val="Normal"/>
        <w:ind w:firstLine="720"/>
        <w:jc w:val="both"/>
        <w:rPr>
          <w:rFonts w:cs="Times New Roman"/>
          <w:bCs/>
          <w:iCs/>
          <w:sz w:val="28"/>
          <w:szCs w:val="28"/>
        </w:rPr>
      </w:pPr>
      <w:r>
        <w:rPr>
          <w:rFonts w:cs="Times New Roman"/>
          <w:bCs/>
          <w:iCs/>
          <w:sz w:val="28"/>
          <w:szCs w:val="28"/>
        </w:rPr>
        <w:t>- на  проезд в размере 400 руб.</w:t>
      </w:r>
    </w:p>
    <w:p>
      <w:pPr>
        <w:pStyle w:val="Normal"/>
        <w:ind w:firstLine="720"/>
        <w:jc w:val="both"/>
        <w:rPr>
          <w:rFonts w:cs="Times New Roman"/>
          <w:bCs/>
          <w:iCs/>
          <w:sz w:val="28"/>
          <w:szCs w:val="28"/>
        </w:rPr>
      </w:pPr>
      <w:r>
        <w:rPr>
          <w:rFonts w:cs="Times New Roman"/>
          <w:bCs/>
          <w:iCs/>
          <w:sz w:val="28"/>
          <w:szCs w:val="28"/>
        </w:rPr>
        <w:t>Бесплатным проездом в размере 400 руб. было обеспечено 114 детей-сирот и детей, оставшихся без попечения родителей, находящихся под опекой и в приемных семьях, имеющих право на данную льготу.</w:t>
      </w:r>
    </w:p>
    <w:p>
      <w:pPr>
        <w:pStyle w:val="Normal"/>
        <w:ind w:firstLine="720"/>
        <w:jc w:val="both"/>
        <w:rPr>
          <w:rFonts w:cs="Times New Roman"/>
          <w:bCs/>
          <w:iCs/>
          <w:sz w:val="28"/>
          <w:szCs w:val="28"/>
        </w:rPr>
      </w:pPr>
      <w:r>
        <w:rPr>
          <w:rFonts w:cs="Times New Roman"/>
          <w:bCs/>
          <w:iCs/>
          <w:sz w:val="28"/>
          <w:szCs w:val="28"/>
        </w:rPr>
        <w:t>На особом контроле комитета образования стоял вопрос реализации законодательства в части защиты жилищных прав.</w:t>
      </w:r>
    </w:p>
    <w:p>
      <w:pPr>
        <w:pStyle w:val="Normal"/>
        <w:ind w:firstLine="720"/>
        <w:jc w:val="both"/>
        <w:rPr>
          <w:rFonts w:cs="Times New Roman"/>
          <w:bCs/>
          <w:iCs/>
          <w:sz w:val="28"/>
          <w:szCs w:val="28"/>
        </w:rPr>
      </w:pPr>
      <w:r>
        <w:rPr>
          <w:rFonts w:cs="Times New Roman"/>
          <w:bCs/>
          <w:iCs/>
          <w:sz w:val="28"/>
          <w:szCs w:val="28"/>
        </w:rPr>
        <w:t>В 2019 году Сланцевскому муниципальному району для приобретения жилых помещений для последующего предоставления по договорам найма специализированного жилого помещения лицам из числа детей-сирот и детей, оставшихся без попечения родителей, выделены ассигнования в сумме 7 682,7 тыс. рублей (из них 7 390,4 тыс. руб. – средства областного бюджета Ленинградской области и 279,3 тыс. рублей -  средства федерального бюджета).</w:t>
      </w:r>
    </w:p>
    <w:p>
      <w:pPr>
        <w:pStyle w:val="Normal"/>
        <w:ind w:firstLine="720"/>
        <w:jc w:val="both"/>
        <w:rPr>
          <w:rFonts w:cs="Times New Roman"/>
          <w:bCs/>
          <w:iCs/>
          <w:sz w:val="28"/>
          <w:szCs w:val="28"/>
        </w:rPr>
      </w:pPr>
      <w:r>
        <w:rPr>
          <w:rFonts w:cs="Times New Roman"/>
          <w:bCs/>
          <w:iCs/>
          <w:sz w:val="28"/>
          <w:szCs w:val="28"/>
        </w:rPr>
        <w:t>За период 2019 года было приобретено в муниципальную собственность 12 квартир (АППГ-11 квартир), из них 2 квартиры приобретены 24.12.2019 года и будут предоставлены в январе-марте 2020 года. Всего предоставлено в пользование лицам из числа детей-сирот и детей, оставшихся без попечения родителей 14 квартир, из них: 3 квартиры приобретены в декабре 2018 года и 1 квартира перераспределена из числа ранее предоставленных в связи со смертью нанимателя. Из специализированного жилого фонда переведено в фонд социального найма 2 квартиры из 4, предоставленных в 2014 году, с двумя гражданами продлен договор найма специализированного жилого помещения на новый пятилетний срок. Всего на контроле по состоянию на 01.01.2020 год состоит 98 жилых помещений, предоставленных лицам из числа детей-сирот и детей, оставшихся без попечения родителей, по договору найма специализированного жилого помещения.</w:t>
      </w:r>
    </w:p>
    <w:p>
      <w:pPr>
        <w:pStyle w:val="Normal"/>
        <w:spacing w:before="200" w:after="0"/>
        <w:ind w:firstLine="540"/>
        <w:jc w:val="both"/>
        <w:rPr>
          <w:rFonts w:cs="Times New Roman"/>
          <w:bCs/>
          <w:iCs/>
          <w:sz w:val="28"/>
          <w:szCs w:val="28"/>
        </w:rPr>
      </w:pPr>
      <w:r>
        <w:rPr>
          <w:rFonts w:cs="Times New Roman"/>
          <w:bCs/>
          <w:iCs/>
          <w:sz w:val="28"/>
          <w:szCs w:val="28"/>
        </w:rPr>
        <w:t>Обеспечение лиц из числа детей-сирот и детей, оставшихся без попечения родителей жилыми помещениями. В список детей-сирот, подлежащих обеспечению жилыми помещениями по договорам найма специализированных жилых помещений, по состоянию на 01.01.2020 года включено 52 человека. В 2020 году запланировано приобретение 13 квартир.</w:t>
      </w:r>
    </w:p>
    <w:p>
      <w:pPr>
        <w:pStyle w:val="Normal"/>
        <w:ind w:firstLine="720"/>
        <w:jc w:val="both"/>
        <w:rPr>
          <w:rFonts w:cs="Times New Roman"/>
          <w:bCs/>
          <w:iCs/>
          <w:sz w:val="28"/>
          <w:szCs w:val="28"/>
        </w:rPr>
      </w:pPr>
      <w:r>
        <w:rPr>
          <w:rFonts w:cs="Times New Roman"/>
          <w:bCs/>
          <w:iCs/>
          <w:sz w:val="28"/>
          <w:szCs w:val="28"/>
        </w:rPr>
        <w:t xml:space="preserve">Кроме того обеспечено проведение ремонтных работ в 4 квартирах, принадлежащих подопечным в размере 50 000, рублей. </w:t>
      </w:r>
    </w:p>
    <w:p>
      <w:pPr>
        <w:pStyle w:val="Normal"/>
        <w:ind w:firstLine="720"/>
        <w:jc w:val="both"/>
        <w:rPr>
          <w:rFonts w:cs="Times New Roman"/>
          <w:bCs/>
          <w:iCs/>
          <w:sz w:val="28"/>
          <w:szCs w:val="28"/>
        </w:rPr>
      </w:pPr>
      <w:r>
        <w:rPr>
          <w:rFonts w:cs="Times New Roman"/>
          <w:bCs/>
          <w:iCs/>
          <w:sz w:val="28"/>
          <w:szCs w:val="28"/>
        </w:rPr>
        <w:t>На особом контроле в течение всего года находилось выполнение  «майских» Указов Президента РФ, в части повышения средней заработной платы педагогических работников. (слайд)</w:t>
      </w:r>
    </w:p>
    <w:p>
      <w:pPr>
        <w:pStyle w:val="Normal"/>
        <w:ind w:firstLine="720"/>
        <w:jc w:val="both"/>
        <w:rPr>
          <w:rFonts w:cs="Times New Roman"/>
          <w:bCs/>
          <w:iCs/>
          <w:sz w:val="28"/>
          <w:szCs w:val="28"/>
        </w:rPr>
      </w:pPr>
      <w:r>
        <w:rPr>
          <w:rFonts w:cs="Times New Roman"/>
          <w:bCs/>
          <w:iCs/>
          <w:sz w:val="28"/>
          <w:szCs w:val="28"/>
        </w:rPr>
        <w:t>Средняя заработная плата педагогических работников школ в районе по  итогам 2019 года составляет 43551,7 руб.(104,9% к уточненному размеру среднего дохода от трудовой деятельности, педагогических работников организаций  дошкольного образования – 38305,7 руб.(105,2% к средней зарплате по общему образованию, педагогических работников организаций дополнительного образования – 45447,9 руб.(102,3 % к средней заработной плате учителей).</w:t>
      </w:r>
    </w:p>
    <w:p>
      <w:pPr>
        <w:pStyle w:val="Normal"/>
        <w:ind w:firstLine="720"/>
        <w:jc w:val="both"/>
        <w:rPr>
          <w:rFonts w:cs="Times New Roman"/>
          <w:bCs/>
          <w:iCs/>
          <w:sz w:val="28"/>
          <w:szCs w:val="28"/>
        </w:rPr>
      </w:pPr>
      <w:r>
        <w:rPr>
          <w:rFonts w:cs="Times New Roman"/>
          <w:bCs/>
          <w:iCs/>
          <w:sz w:val="28"/>
          <w:szCs w:val="28"/>
        </w:rPr>
        <w:t xml:space="preserve">2019 год стал первым годом реализации муниципальной программы развития муниципальной программы «Развитие образования муниципального образования Сланцевский муниципальный район на 2019-2024».  Финансирование Программы в 2019 году составило 7792049,2 тыс. руб. (99,4 % от плана).   </w:t>
        <w:tab/>
      </w:r>
    </w:p>
    <w:p>
      <w:pPr>
        <w:pStyle w:val="Normal"/>
        <w:ind w:firstLine="709"/>
        <w:jc w:val="center"/>
        <w:rPr/>
      </w:pPr>
      <w:r>
        <w:rPr>
          <w:rFonts w:cs="Times New Roman"/>
          <w:b/>
          <w:sz w:val="28"/>
          <w:szCs w:val="28"/>
        </w:rPr>
        <w:t>Культура, спорт и молодежная политика</w:t>
      </w:r>
    </w:p>
    <w:p>
      <w:pPr>
        <w:pStyle w:val="Normal"/>
        <w:ind w:firstLine="709"/>
        <w:jc w:val="both"/>
        <w:rPr/>
      </w:pPr>
      <w:r>
        <w:rPr>
          <w:rFonts w:cs="Times New Roman"/>
          <w:color w:val="000000"/>
          <w:sz w:val="28"/>
          <w:szCs w:val="28"/>
        </w:rPr>
        <w:t xml:space="preserve">Работа администрации в сфере культуры, спорта и молодежной политики в 2019 году строилась в соответствии с </w:t>
      </w:r>
      <w:r>
        <w:rPr>
          <w:rFonts w:cs="Times New Roman"/>
          <w:bCs/>
          <w:i/>
          <w:iCs/>
          <w:color w:val="000000"/>
          <w:sz w:val="28"/>
          <w:szCs w:val="28"/>
        </w:rPr>
        <w:t>муниципальными программами:</w:t>
      </w:r>
    </w:p>
    <w:p>
      <w:pPr>
        <w:pStyle w:val="Normal"/>
        <w:ind w:firstLine="709"/>
        <w:jc w:val="both"/>
        <w:rPr>
          <w:rFonts w:cs="Times New Roman"/>
          <w:bCs/>
          <w:sz w:val="28"/>
          <w:szCs w:val="28"/>
        </w:rPr>
      </w:pPr>
      <w:r>
        <w:rPr>
          <w:rFonts w:cs="Times New Roman"/>
          <w:bCs/>
          <w:color w:val="000000"/>
          <w:sz w:val="28"/>
          <w:szCs w:val="28"/>
        </w:rPr>
        <w:t xml:space="preserve">- «Развитие культуры, спорта и молодежной политики на территории Сланцевского муниципального района на 2017-2019 годы». </w:t>
      </w:r>
    </w:p>
    <w:p>
      <w:pPr>
        <w:pStyle w:val="Normal"/>
        <w:ind w:firstLine="709"/>
        <w:jc w:val="both"/>
        <w:rPr>
          <w:rFonts w:cs="Times New Roman"/>
          <w:bCs/>
          <w:sz w:val="28"/>
          <w:szCs w:val="28"/>
        </w:rPr>
      </w:pPr>
      <w:r>
        <w:rPr>
          <w:rFonts w:cs="Times New Roman"/>
          <w:bCs/>
          <w:sz w:val="28"/>
          <w:szCs w:val="28"/>
        </w:rPr>
        <w:t>- «Развитие культуры, спорта и молодежной политики на территории Сланцевского городского поселения на 2017 – 2019 годы».</w:t>
      </w:r>
    </w:p>
    <w:p>
      <w:pPr>
        <w:pStyle w:val="Normal"/>
        <w:ind w:firstLine="720"/>
        <w:jc w:val="both"/>
        <w:rPr>
          <w:rFonts w:cs="Times New Roman"/>
          <w:sz w:val="28"/>
          <w:szCs w:val="28"/>
        </w:rPr>
      </w:pPr>
      <w:r>
        <w:rPr>
          <w:rFonts w:cs="Times New Roman"/>
          <w:sz w:val="28"/>
          <w:szCs w:val="28"/>
        </w:rPr>
        <w:t>На реализацию муниципальных программ в 2019 году было направлено свыше 150</w:t>
      </w:r>
      <w:r>
        <w:rPr>
          <w:rFonts w:cs="Times New Roman"/>
          <w:bCs/>
          <w:sz w:val="28"/>
          <w:szCs w:val="28"/>
        </w:rPr>
        <w:t xml:space="preserve"> миллионов рублей</w:t>
      </w:r>
      <w:r>
        <w:rPr>
          <w:rFonts w:cs="Times New Roman"/>
          <w:sz w:val="28"/>
          <w:szCs w:val="28"/>
        </w:rPr>
        <w:t>.</w:t>
      </w:r>
    </w:p>
    <w:p>
      <w:pPr>
        <w:pStyle w:val="Normal"/>
        <w:ind w:firstLine="720"/>
        <w:jc w:val="both"/>
        <w:rPr>
          <w:rFonts w:cs="Times New Roman"/>
          <w:sz w:val="28"/>
          <w:szCs w:val="28"/>
        </w:rPr>
      </w:pPr>
      <w:r>
        <w:rPr>
          <w:rFonts w:cs="Times New Roman"/>
          <w:sz w:val="28"/>
          <w:szCs w:val="28"/>
        </w:rPr>
        <w:t xml:space="preserve">В рамках реализации программ было сделано многое для </w:t>
      </w:r>
      <w:r>
        <w:rPr>
          <w:rFonts w:cs="Times New Roman"/>
          <w:b/>
          <w:sz w:val="28"/>
          <w:szCs w:val="28"/>
        </w:rPr>
        <w:t>совершенствования качества предоставляемых населению услуг</w:t>
      </w:r>
      <w:r>
        <w:rPr>
          <w:rFonts w:cs="Times New Roman"/>
          <w:sz w:val="28"/>
          <w:szCs w:val="28"/>
        </w:rPr>
        <w:t xml:space="preserve"> в сфере культуры, спорта и молодежной политики.</w:t>
      </w:r>
    </w:p>
    <w:p>
      <w:pPr>
        <w:pStyle w:val="Normal"/>
        <w:ind w:firstLine="708"/>
        <w:jc w:val="both"/>
        <w:rPr>
          <w:rFonts w:cs="Times New Roman"/>
          <w:sz w:val="28"/>
          <w:szCs w:val="28"/>
        </w:rPr>
      </w:pPr>
      <w:r>
        <w:rPr>
          <w:rFonts w:cs="Times New Roman"/>
          <w:sz w:val="28"/>
          <w:szCs w:val="28"/>
        </w:rPr>
        <w:t>С 2019 года создано и действует новое учреждение культурыСланцевскаямежпоселенческая центральная районная библиотека, осуществляющеебиблиотечное обслуживание населения всех поселений Сланцевского района.</w:t>
      </w:r>
    </w:p>
    <w:p>
      <w:pPr>
        <w:pStyle w:val="Normal"/>
        <w:ind w:firstLine="567"/>
        <w:jc w:val="both"/>
        <w:rPr>
          <w:rFonts w:cs="Times New Roman"/>
          <w:color w:val="000000"/>
          <w:sz w:val="28"/>
          <w:szCs w:val="28"/>
        </w:rPr>
      </w:pPr>
      <w:r>
        <w:rPr>
          <w:rFonts w:cs="Times New Roman"/>
          <w:color w:val="000000"/>
          <w:sz w:val="28"/>
          <w:szCs w:val="28"/>
        </w:rPr>
        <w:t xml:space="preserve">20 декабря 2019 г. на базе Сланцевской библиотеки </w:t>
      </w:r>
      <w:r>
        <w:rPr>
          <w:rFonts w:cs="Times New Roman"/>
          <w:sz w:val="28"/>
          <w:szCs w:val="28"/>
        </w:rPr>
        <w:t>в рамках реализации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w:t>
      </w:r>
      <w:r>
        <w:rPr>
          <w:rFonts w:cs="Times New Roman"/>
          <w:color w:val="000000"/>
          <w:sz w:val="28"/>
          <w:szCs w:val="28"/>
        </w:rPr>
        <w:t>был открыт молодежный коворкинг - центр, на материально - техническое обеспечение которого было выделено 3 миллиона рублей из областного бюджета</w:t>
      </w:r>
      <w:r>
        <w:rPr>
          <w:rFonts w:cs="Times New Roman"/>
          <w:sz w:val="28"/>
          <w:szCs w:val="28"/>
        </w:rPr>
        <w:t xml:space="preserve">, 2,1 миллиона рублей из бюджета Сланцевского района. </w:t>
      </w:r>
      <w:r>
        <w:rPr>
          <w:rFonts w:cs="Times New Roman"/>
          <w:color w:val="000000"/>
          <w:sz w:val="28"/>
          <w:szCs w:val="28"/>
        </w:rPr>
        <w:t xml:space="preserve">Цели деятельности Коворкинг-центра:предоставление пространства и инструментария для реализации творческих инициатив и решения повседневных задач молодежной аудитории. </w:t>
      </w:r>
    </w:p>
    <w:p>
      <w:pPr>
        <w:pStyle w:val="Normal"/>
        <w:ind w:firstLine="720"/>
        <w:jc w:val="both"/>
        <w:rPr>
          <w:rFonts w:cs="Times New Roman"/>
          <w:sz w:val="28"/>
          <w:szCs w:val="28"/>
        </w:rPr>
      </w:pPr>
      <w:r>
        <w:rPr>
          <w:rFonts w:cs="Times New Roman"/>
          <w:sz w:val="28"/>
          <w:szCs w:val="28"/>
        </w:rPr>
        <w:t>Открытый универсальный стадион «Шахтер» физкультурно-оздоровительного комплекса «Сланцы» внесен во Всероссийский реестр объектов спорта, что позволит использовать его для проведения официальных международных, всероссийских, межрегиональных, областных физкультурных и спортивных мероприятий.</w:t>
      </w:r>
    </w:p>
    <w:p>
      <w:pPr>
        <w:pStyle w:val="Normal"/>
        <w:ind w:firstLine="720"/>
        <w:jc w:val="both"/>
        <w:rPr>
          <w:rFonts w:cs="Times New Roman"/>
          <w:sz w:val="28"/>
          <w:szCs w:val="28"/>
        </w:rPr>
      </w:pPr>
      <w:r>
        <w:rPr>
          <w:rFonts w:cs="Times New Roman"/>
          <w:sz w:val="28"/>
          <w:szCs w:val="28"/>
        </w:rPr>
        <w:t xml:space="preserve">Продолжался </w:t>
      </w:r>
      <w:r>
        <w:rPr>
          <w:rFonts w:cs="Times New Roman"/>
          <w:b/>
          <w:sz w:val="28"/>
          <w:szCs w:val="28"/>
        </w:rPr>
        <w:t>процесс обновления и модернизации</w:t>
      </w:r>
      <w:r>
        <w:rPr>
          <w:rFonts w:cs="Times New Roman"/>
          <w:sz w:val="28"/>
          <w:szCs w:val="28"/>
        </w:rPr>
        <w:t xml:space="preserve"> муниципальных учреждений.</w:t>
      </w:r>
    </w:p>
    <w:p>
      <w:pPr>
        <w:pStyle w:val="Normal"/>
        <w:ind w:firstLine="720"/>
        <w:jc w:val="both"/>
        <w:rPr>
          <w:color w:val="000000"/>
          <w:sz w:val="28"/>
          <w:szCs w:val="28"/>
          <w:highlight w:val="white"/>
        </w:rPr>
      </w:pPr>
      <w:r>
        <w:rPr>
          <w:rFonts w:cs="Times New Roman"/>
          <w:sz w:val="28"/>
          <w:szCs w:val="28"/>
          <w:lang w:val="az-Cyrl-AZ"/>
        </w:rPr>
        <w:t xml:space="preserve">В 2019 году </w:t>
      </w:r>
      <w:r>
        <w:rPr>
          <w:color w:val="000000"/>
          <w:sz w:val="28"/>
          <w:szCs w:val="28"/>
          <w:shd w:fill="FFFFFF" w:val="clear"/>
        </w:rPr>
        <w:t>в рамках участия в государственной программе Ленинградской области «Развитие культуры и туризма в Ленинградской области»</w:t>
      </w:r>
      <w:r>
        <w:rPr>
          <w:rFonts w:cs="Times New Roman"/>
          <w:sz w:val="28"/>
          <w:szCs w:val="28"/>
        </w:rPr>
        <w:t>осуществлялся 2 этап капитального ремонта сцены и сценического оборудования Городского Дома культуры</w:t>
      </w:r>
      <w:r>
        <w:rPr>
          <w:rFonts w:cs="Times New Roman"/>
          <w:sz w:val="28"/>
          <w:szCs w:val="28"/>
          <w:lang w:val="az-Cyrl-AZ"/>
        </w:rPr>
        <w:t>, общая стоимость которого составляет 38, 5 миллионов рублей.</w:t>
      </w:r>
      <w:r>
        <w:rPr>
          <w:color w:val="000000"/>
          <w:sz w:val="28"/>
          <w:szCs w:val="28"/>
          <w:shd w:fill="FFFFFF" w:val="clear"/>
        </w:rPr>
        <w:t>Был выполнен комплекс работ по устройству постановочного освещения сцены большого зала ГДК, являющегося неотъемлемым и естественным компонентом общего художественного решения спектакля или концерта.</w:t>
      </w:r>
    </w:p>
    <w:p>
      <w:pPr>
        <w:pStyle w:val="Normal"/>
        <w:ind w:firstLine="567"/>
        <w:jc w:val="both"/>
        <w:rPr>
          <w:rFonts w:cs="Times New Roman"/>
          <w:sz w:val="28"/>
          <w:szCs w:val="28"/>
        </w:rPr>
      </w:pPr>
      <w:r>
        <w:rPr>
          <w:rFonts w:cs="Times New Roman"/>
          <w:sz w:val="28"/>
          <w:szCs w:val="28"/>
        </w:rPr>
        <w:t>Завершился процесс модернизации и автоматизации системы управления библиотечными процессами Сланцевской библиотеки в части оснащения технологией радиочастотной идентификации RFID на основе системы автоматизации библиотек ИРБИС64.В рамках модернизации было приобретено и установлено необходимое оборудование и программное обеспечение, произведено чипирование библиотечного фонда городских библиотек и с конца 2019 года начался переход на выдачу пользователям электронных читательских билетов.</w:t>
      </w:r>
    </w:p>
    <w:p>
      <w:pPr>
        <w:pStyle w:val="Normal"/>
        <w:ind w:firstLine="567"/>
        <w:jc w:val="both"/>
        <w:rPr>
          <w:rFonts w:cs="Times New Roman"/>
          <w:sz w:val="28"/>
          <w:szCs w:val="28"/>
        </w:rPr>
      </w:pPr>
      <w:r>
        <w:rPr>
          <w:rFonts w:cs="Times New Roman"/>
          <w:sz w:val="28"/>
          <w:szCs w:val="28"/>
        </w:rPr>
        <w:t>В физкультурно- оздоровительном комплексе «Сланцы» на стадионе «Шахтер» в целях обеспечения безопасности посетителей и сохранности оборудования стадиона установлен контрольно-пропускной пункт на сумму 350 тыс.руб., для освещения результатов спортивных мероприятий - уличное информационное табло на сумму 126 тыс.руб.</w:t>
      </w:r>
    </w:p>
    <w:p>
      <w:pPr>
        <w:pStyle w:val="Normal"/>
        <w:ind w:firstLine="567"/>
        <w:jc w:val="both"/>
        <w:rPr>
          <w:rFonts w:cs="Times New Roman"/>
          <w:sz w:val="28"/>
          <w:szCs w:val="28"/>
        </w:rPr>
      </w:pPr>
      <w:r>
        <w:rPr>
          <w:rFonts w:cs="Times New Roman"/>
          <w:sz w:val="28"/>
          <w:szCs w:val="28"/>
        </w:rPr>
        <w:t>Парк культуры и отдыха пополнилсянадувнымнавесом для организации мобильной сцены стоимостью 103, 8 тыс. руб., новым аттракционом «Тарзанка» стоимостью 373, 3 тыс. руб., который будет установлен в 2020 году.</w:t>
      </w:r>
    </w:p>
    <w:p>
      <w:pPr>
        <w:pStyle w:val="Normal"/>
        <w:ind w:firstLine="708"/>
        <w:jc w:val="both"/>
        <w:rPr/>
      </w:pPr>
      <w:r>
        <w:rPr>
          <w:rFonts w:cs="Times New Roman"/>
          <w:sz w:val="28"/>
          <w:szCs w:val="28"/>
        </w:rPr>
        <w:t xml:space="preserve">В 2019 году город стал площадкой для таких </w:t>
      </w:r>
      <w:r>
        <w:rPr>
          <w:rFonts w:cs="Times New Roman"/>
          <w:b/>
          <w:sz w:val="28"/>
          <w:szCs w:val="28"/>
        </w:rPr>
        <w:t>значимых мероприятий</w:t>
      </w:r>
      <w:r>
        <w:rPr>
          <w:rFonts w:cs="Times New Roman"/>
          <w:sz w:val="28"/>
          <w:szCs w:val="28"/>
        </w:rPr>
        <w:t>, как:</w:t>
      </w:r>
    </w:p>
    <w:p>
      <w:pPr>
        <w:pStyle w:val="1"/>
        <w:keepNext w:val="false"/>
        <w:keepLines w:val="false"/>
        <w:widowControl w:val="false"/>
        <w:shd w:val="clear" w:color="auto" w:fill="FFFFFF"/>
        <w:spacing w:lineRule="auto" w:line="240" w:before="0" w:after="0"/>
        <w:ind w:firstLine="567"/>
        <w:jc w:val="both"/>
        <w:textAlignment w:val="baseline"/>
        <w:rPr>
          <w:rFonts w:ascii="Times New Roman" w:hAnsi="Times New Roman"/>
          <w:b w:val="false"/>
          <w:b w:val="false"/>
          <w:color w:val="auto"/>
          <w:kern w:val="2"/>
          <w:lang w:eastAsia="ru-RU"/>
        </w:rPr>
      </w:pPr>
      <w:r>
        <w:rPr>
          <w:rFonts w:ascii="Times New Roman" w:hAnsi="Times New Roman"/>
          <w:b w:val="false"/>
          <w:color w:val="auto"/>
        </w:rPr>
        <w:t>- ф</w:t>
      </w:r>
      <w:r>
        <w:rPr>
          <w:rFonts w:ascii="Times New Roman" w:hAnsi="Times New Roman"/>
          <w:b w:val="false"/>
          <w:color w:val="auto"/>
          <w:kern w:val="2"/>
          <w:lang w:eastAsia="ar-SA"/>
        </w:rPr>
        <w:t>естиваль читательского творчества «Солнечные встречи» при участии областных библиотек, издателей, писателей, художников из Санкт-Петербурга и Москвы, проходивший</w:t>
      </w:r>
      <w:r>
        <w:rPr>
          <w:rFonts w:ascii="Times New Roman" w:hAnsi="Times New Roman"/>
          <w:b w:val="false"/>
          <w:color w:val="auto"/>
        </w:rPr>
        <w:t>6 - 7 июня.</w:t>
      </w:r>
      <w:r>
        <w:rPr>
          <w:rFonts w:ascii="Times New Roman" w:hAnsi="Times New Roman"/>
          <w:b w:val="false"/>
          <w:color w:val="auto"/>
          <w:kern w:val="2"/>
          <w:lang w:eastAsia="ar-SA"/>
        </w:rPr>
        <w:t xml:space="preserve">По итогам проведения фестиваля было принято решение о том, что с 2020 г. фестиваль станет фестивалем содружества читающих городов Ленинградской области, его площадками станет не только город, но и множество сельских поселений Сланцевского района, а в работе фестиваля примут участие города Ленинградской области. </w:t>
      </w:r>
    </w:p>
    <w:p>
      <w:pPr>
        <w:pStyle w:val="Normal"/>
        <w:ind w:firstLine="567"/>
        <w:jc w:val="both"/>
        <w:rPr>
          <w:rFonts w:cs="Times New Roman"/>
          <w:b/>
          <w:b/>
          <w:sz w:val="28"/>
          <w:szCs w:val="28"/>
        </w:rPr>
      </w:pPr>
      <w:r>
        <w:rPr>
          <w:rFonts w:cs="Times New Roman"/>
          <w:sz w:val="28"/>
          <w:szCs w:val="28"/>
        </w:rPr>
        <w:t>- областной фестиваль фольклора и ремесел «Мастеровая слобода», состоявшийся 12 июня в Парке культуры и отдыха. Уже шестой год подряд фестиваль проходит при поддержке комитета по культуре Ленинградской области.Нафестивале можно было увидеть множество изделий мастеров прикладного творчества, творчествонародных коллективов Сланцевского района, ансамбля песни «Калинов цвет» (г.Кингисепп), фолк-группы «Пятое колесо» и фольклорного ансамбля «Домострой» (г.Санкт-Петербург), народного коллектива фольклорного ансамбля «Новоселье» (Ломоносовский район), казачьего молодёжного ансамбля «Сокол» (г.Москва).</w:t>
      </w:r>
    </w:p>
    <w:p>
      <w:pPr>
        <w:pStyle w:val="Normal"/>
        <w:ind w:firstLine="567"/>
        <w:jc w:val="both"/>
        <w:rPr>
          <w:rFonts w:cs="Times New Roman"/>
          <w:sz w:val="28"/>
          <w:szCs w:val="28"/>
        </w:rPr>
      </w:pPr>
      <w:r>
        <w:rPr>
          <w:rFonts w:cs="Times New Roman"/>
          <w:bCs/>
          <w:sz w:val="28"/>
          <w:szCs w:val="28"/>
        </w:rPr>
        <w:t>- областной праздник, посвященный Дню семьи, любви и верности, прошедший 6 июля при поддержке</w:t>
      </w:r>
      <w:r>
        <w:rPr>
          <w:rFonts w:cs="Times New Roman"/>
          <w:sz w:val="28"/>
          <w:szCs w:val="28"/>
        </w:rPr>
        <w:t>комитетапо местному самоуправлению, межнациональным и межконфессиональным отношениям Ленинградской области.</w:t>
      </w:r>
      <w:r>
        <w:rPr>
          <w:rFonts w:cs="Times New Roman"/>
          <w:bCs/>
          <w:sz w:val="28"/>
          <w:szCs w:val="28"/>
        </w:rPr>
        <w:t>ВПарке культуры и отдыха состоялась торжественная церемония награждения семей Ленинградской области за многолетний брак и многодетных семей, среди них были и семьи Сланцевского района.</w:t>
      </w:r>
      <w:r>
        <w:rPr>
          <w:rFonts w:cs="Times New Roman"/>
          <w:sz w:val="28"/>
          <w:szCs w:val="28"/>
        </w:rPr>
        <w:t xml:space="preserve">Зрители смогли увидетьсвадебный обряд в народном стиле для молодоженов, посетить </w:t>
      </w:r>
      <w:r>
        <w:rPr>
          <w:rFonts w:cs="Times New Roman"/>
          <w:bCs/>
          <w:sz w:val="28"/>
          <w:szCs w:val="28"/>
        </w:rPr>
        <w:t>"Город мастеров".</w:t>
      </w:r>
    </w:p>
    <w:p>
      <w:pPr>
        <w:pStyle w:val="Normal"/>
        <w:ind w:firstLine="567"/>
        <w:jc w:val="both"/>
        <w:rPr>
          <w:rFonts w:cs="Times New Roman"/>
          <w:color w:val="000000"/>
          <w:sz w:val="28"/>
          <w:szCs w:val="28"/>
          <w:highlight w:val="white"/>
        </w:rPr>
      </w:pPr>
      <w:r>
        <w:rPr>
          <w:rFonts w:cs="Times New Roman"/>
          <w:sz w:val="28"/>
          <w:szCs w:val="28"/>
        </w:rPr>
        <w:t xml:space="preserve">В ряду ярких и интересных событий стало открытие в библиотеке информационно-образовательного центра «Русский музей: виртуальный филиал». Это еще один центр в ряду открытых на базе </w:t>
      </w:r>
      <w:r>
        <w:rPr>
          <w:rFonts w:cs="Times New Roman"/>
          <w:color w:val="000000"/>
          <w:sz w:val="28"/>
          <w:szCs w:val="28"/>
          <w:shd w:fill="FFFFFF" w:val="clear"/>
        </w:rPr>
        <w:t>библиотеки виртуальных филиалов таких крупных интеллектуальных центров, как Президентская библиотека им. Б.Н.Ельцина, региональный центр Всероссийского музея А.С.Пушкина.</w:t>
      </w:r>
    </w:p>
    <w:p>
      <w:pPr>
        <w:pStyle w:val="Normal"/>
        <w:ind w:firstLine="567"/>
        <w:jc w:val="both"/>
        <w:rPr>
          <w:rFonts w:cs="Times New Roman"/>
          <w:color w:val="000000"/>
          <w:sz w:val="28"/>
          <w:szCs w:val="28"/>
          <w:highlight w:val="white"/>
        </w:rPr>
      </w:pPr>
      <w:r>
        <w:rPr>
          <w:rFonts w:cs="Times New Roman"/>
          <w:color w:val="000000"/>
          <w:sz w:val="28"/>
          <w:szCs w:val="28"/>
          <w:shd w:fill="FFFFFF" w:val="clear"/>
        </w:rPr>
        <w:t xml:space="preserve">2019 года стал юбилейным для городских учреждений культуры: </w:t>
      </w:r>
      <w:r>
        <w:rPr>
          <w:rFonts w:cs="Times New Roman"/>
          <w:sz w:val="28"/>
          <w:szCs w:val="28"/>
        </w:rPr>
        <w:t>Сланцевской публичной библиотеке исполнилось 75 лет, Сланцевской центральной детской библиотеке – 70 лет, Городскому Дому культуры – 75 лет. 25 лет своей деятельности отметил семейный клуб традиционной русской культуры «Свояси»Парка культуры и отдыха.</w:t>
      </w:r>
    </w:p>
    <w:p>
      <w:pPr>
        <w:pStyle w:val="Normal"/>
        <w:ind w:firstLine="709"/>
        <w:jc w:val="both"/>
        <w:rPr>
          <w:rFonts w:cs="Times New Roman"/>
          <w:sz w:val="28"/>
          <w:szCs w:val="28"/>
        </w:rPr>
      </w:pPr>
      <w:r>
        <w:rPr>
          <w:rFonts w:cs="Times New Roman"/>
          <w:sz w:val="28"/>
          <w:szCs w:val="28"/>
        </w:rPr>
        <w:t xml:space="preserve">Наши учреждения принимали </w:t>
      </w:r>
      <w:r>
        <w:rPr>
          <w:rFonts w:cs="Times New Roman"/>
          <w:b/>
          <w:sz w:val="28"/>
          <w:szCs w:val="28"/>
        </w:rPr>
        <w:t>участие в конкурсах</w:t>
      </w:r>
      <w:r>
        <w:rPr>
          <w:rFonts w:cs="Times New Roman"/>
          <w:sz w:val="28"/>
          <w:szCs w:val="28"/>
        </w:rPr>
        <w:t xml:space="preserve"> разного уровня: </w:t>
      </w:r>
    </w:p>
    <w:p>
      <w:pPr>
        <w:pStyle w:val="Normal"/>
        <w:ind w:firstLine="708"/>
        <w:jc w:val="both"/>
        <w:rPr>
          <w:rFonts w:cs="Times New Roman"/>
          <w:sz w:val="28"/>
          <w:szCs w:val="28"/>
        </w:rPr>
      </w:pPr>
      <w:r>
        <w:rPr>
          <w:rFonts w:cs="Times New Roman"/>
          <w:sz w:val="28"/>
          <w:szCs w:val="28"/>
        </w:rPr>
        <w:t>В 2019 г. Сланцевскаямежпоселенческая центральная районная библиотека приняла участие в конкурсном отборе субъектов Российской Федерации</w:t>
      </w:r>
      <w:r>
        <w:rPr>
          <w:rStyle w:val="Strong"/>
          <w:b w:val="false"/>
          <w:color w:val="333333"/>
          <w:sz w:val="28"/>
          <w:szCs w:val="28"/>
          <w:shd w:fill="FFFFFF" w:val="clear"/>
        </w:rPr>
        <w:t>в рамках национального проекта «Культура»</w:t>
      </w:r>
      <w:r>
        <w:rPr>
          <w:rFonts w:cs="Times New Roman"/>
          <w:sz w:val="28"/>
          <w:szCs w:val="28"/>
        </w:rPr>
        <w:t>на создание модельных муниципальных библиотек в субъектах Российской Федерации в 2020 – 2022 гг.  Центральная детская библиотека, филиал №1 МКУК СМЦРБ признана победителем конкурсногоотбора. На реализацию проекта – создание в 2020 г модельной детской библиотеки в г.Сланцы</w:t>
      </w:r>
      <w:r>
        <w:rPr>
          <w:rFonts w:cs="Times New Roman"/>
          <w:color w:val="333333"/>
          <w:sz w:val="28"/>
          <w:szCs w:val="28"/>
          <w:shd w:fill="FFFFFF" w:val="clear"/>
        </w:rPr>
        <w:t xml:space="preserve">как библиотеки нового поколения </w:t>
      </w:r>
      <w:r>
        <w:rPr>
          <w:rFonts w:cs="Times New Roman"/>
          <w:sz w:val="28"/>
          <w:szCs w:val="28"/>
        </w:rPr>
        <w:t>получено 5 млн. р.из федерального бюджета</w:t>
      </w:r>
    </w:p>
    <w:p>
      <w:pPr>
        <w:pStyle w:val="Normal"/>
        <w:ind w:firstLine="708"/>
        <w:jc w:val="both"/>
        <w:rPr>
          <w:rFonts w:cs="Times New Roman"/>
          <w:sz w:val="28"/>
          <w:szCs w:val="28"/>
        </w:rPr>
      </w:pPr>
      <w:r>
        <w:rPr>
          <w:rFonts w:cs="Times New Roman"/>
          <w:sz w:val="28"/>
          <w:szCs w:val="28"/>
        </w:rPr>
        <w:t>Парк культуры и отдыха стал победителем областного конкурса профессионального мастерства «Звезда культуры» в номинации - «Лучший Парк культуры и отдыха».</w:t>
      </w:r>
    </w:p>
    <w:p>
      <w:pPr>
        <w:pStyle w:val="Normal"/>
        <w:ind w:firstLine="567"/>
        <w:jc w:val="both"/>
        <w:rPr>
          <w:rFonts w:cs="Times New Roman"/>
          <w:bCs/>
          <w:sz w:val="28"/>
          <w:szCs w:val="28"/>
        </w:rPr>
      </w:pPr>
      <w:r>
        <w:rPr>
          <w:rFonts w:cs="Times New Roman"/>
          <w:bCs/>
          <w:sz w:val="28"/>
          <w:szCs w:val="28"/>
        </w:rPr>
        <w:t xml:space="preserve">Выборам в органы местного самоуправления 8 сентября 2019 года в Сланцевском районе был посвященодин из проектов Сланцевской библиотеки - «Это мое дело».Партнером проекта стала территориальная избирательная комиссия Сланцевского муниципального района.Итогом работы стало участие и победа в конкурсе по правовому просвещению и информированию избирателей Ленинградской области в 2019 году «Читай! Думай! Выбирай!». В номинации «Среди муниципальных публичных библиотек муниципальных районов и городского округа» Сланцевская межпоселенческая центральная районная библиотека заняла первое место. </w:t>
      </w:r>
    </w:p>
    <w:p>
      <w:pPr>
        <w:pStyle w:val="Normal"/>
        <w:ind w:firstLine="709"/>
        <w:jc w:val="both"/>
        <w:rPr>
          <w:rFonts w:cs="Times New Roman"/>
          <w:sz w:val="28"/>
          <w:szCs w:val="28"/>
        </w:rPr>
      </w:pPr>
      <w:r>
        <w:rPr>
          <w:rFonts w:cs="Times New Roman"/>
          <w:sz w:val="28"/>
          <w:szCs w:val="28"/>
        </w:rPr>
        <w:t xml:space="preserve">Прошедший год порадовал </w:t>
      </w:r>
      <w:r>
        <w:rPr>
          <w:rFonts w:cs="Times New Roman"/>
          <w:b/>
          <w:sz w:val="28"/>
          <w:szCs w:val="28"/>
        </w:rPr>
        <w:t>успехами в спорте</w:t>
      </w:r>
      <w:r>
        <w:rPr>
          <w:rFonts w:cs="Times New Roman"/>
          <w:sz w:val="28"/>
          <w:szCs w:val="28"/>
        </w:rPr>
        <w:t>:</w:t>
      </w:r>
    </w:p>
    <w:p>
      <w:pPr>
        <w:pStyle w:val="Normal"/>
        <w:ind w:firstLine="708"/>
        <w:jc w:val="both"/>
        <w:rPr>
          <w:rFonts w:cs="Times New Roman"/>
          <w:sz w:val="28"/>
          <w:szCs w:val="28"/>
        </w:rPr>
      </w:pPr>
      <w:r>
        <w:rPr>
          <w:rFonts w:cs="Times New Roman"/>
          <w:sz w:val="28"/>
          <w:szCs w:val="28"/>
        </w:rPr>
        <w:t>Мужская сборная города Сланцы весной 2019 года стала победителем Чемпионата Ленинградской области по баскетболу, Чемпионом Северо-Западного Федерального округа по баскетболу, прошла в финал Чемпионата России.</w:t>
      </w:r>
    </w:p>
    <w:p>
      <w:pPr>
        <w:pStyle w:val="Normal"/>
        <w:ind w:firstLine="708"/>
        <w:jc w:val="both"/>
        <w:rPr>
          <w:rFonts w:cs="Times New Roman"/>
          <w:sz w:val="28"/>
          <w:szCs w:val="28"/>
        </w:rPr>
      </w:pPr>
      <w:r>
        <w:rPr>
          <w:rFonts w:cs="Times New Roman"/>
          <w:sz w:val="28"/>
          <w:szCs w:val="28"/>
        </w:rPr>
        <w:t>В декабре 2019 года спортсмены нашего района приняли участие в Открытом Кубке СНГ, Кубке Мира по тхэквондо ИТФ в городе Минск. По итогам соревнований 2 наших спортсмена (Морин Иван и Вьюшков Иван) стали бронзовыми призёрами.</w:t>
      </w:r>
    </w:p>
    <w:p>
      <w:pPr>
        <w:pStyle w:val="Normal"/>
        <w:ind w:firstLine="708"/>
        <w:jc w:val="both"/>
        <w:rPr>
          <w:rFonts w:cs="Times New Roman"/>
          <w:sz w:val="28"/>
          <w:szCs w:val="28"/>
        </w:rPr>
      </w:pPr>
      <w:r>
        <w:rPr>
          <w:rFonts w:cs="Times New Roman"/>
          <w:sz w:val="28"/>
          <w:szCs w:val="28"/>
        </w:rPr>
        <w:t>В декабре 2019 года мужская сборная Сланцевского муниципального района заняла 2 место на Кубке Ленинградской области по мини-футболу.</w:t>
      </w:r>
    </w:p>
    <w:p>
      <w:pPr>
        <w:pStyle w:val="Normal"/>
        <w:jc w:val="center"/>
        <w:rPr/>
      </w:pPr>
      <w:r>
        <w:rPr>
          <w:rFonts w:cs="Times New Roman"/>
          <w:b/>
          <w:sz w:val="28"/>
          <w:szCs w:val="28"/>
        </w:rPr>
        <w:t>Здравоохранение</w:t>
      </w:r>
    </w:p>
    <w:p>
      <w:pPr>
        <w:pStyle w:val="Normal"/>
        <w:ind w:firstLine="709"/>
        <w:jc w:val="both"/>
        <w:rPr/>
      </w:pPr>
      <w:r>
        <w:rPr>
          <w:sz w:val="28"/>
          <w:szCs w:val="28"/>
        </w:rPr>
        <w:t>С  2013 года полномочия в сфере здравоохранения переданы с уровня района на область. Но здоровье – это то, что касается каждого из нас.</w:t>
      </w:r>
    </w:p>
    <w:p>
      <w:pPr>
        <w:pStyle w:val="Normal"/>
        <w:tabs>
          <w:tab w:val="left" w:pos="900" w:leader="none"/>
          <w:tab w:val="left" w:pos="1080" w:leader="none"/>
        </w:tabs>
        <w:ind w:firstLine="709"/>
        <w:jc w:val="both"/>
        <w:rPr>
          <w:sz w:val="28"/>
          <w:szCs w:val="28"/>
        </w:rPr>
      </w:pPr>
      <w:r>
        <w:rPr>
          <w:sz w:val="28"/>
          <w:szCs w:val="28"/>
        </w:rPr>
        <w:t>В течение года продолжалась работа по укреплению материально технической базы медицинских учреждений.</w:t>
      </w:r>
    </w:p>
    <w:p>
      <w:pPr>
        <w:pStyle w:val="Normal"/>
        <w:ind w:firstLine="709"/>
        <w:jc w:val="both"/>
        <w:rPr>
          <w:sz w:val="28"/>
          <w:szCs w:val="28"/>
        </w:rPr>
      </w:pPr>
      <w:r>
        <w:rPr>
          <w:bCs/>
          <w:sz w:val="28"/>
          <w:szCs w:val="28"/>
        </w:rPr>
        <w:t>В 2019</w:t>
      </w:r>
      <w:r>
        <w:rPr>
          <w:sz w:val="28"/>
          <w:szCs w:val="28"/>
        </w:rPr>
        <w:t xml:space="preserve"> г. приобретено медицинское оборудование на сумму 13 567,1 тыс. руб., в т.ч. оборудования для лаборатории, оборудование для физиотерапевтического отделения, отделения функциональной диагностики, стоматологическая установка, электрохирургический гинекологический аппарат, дефибриляторы, поставка функциональных кроватей, приобретался медицинский инструментарий и расходные материалы, проведена замена мебели в лаборатории, детской поликлинике, части помещений взрослой поликлиники, отремонтированных помещений стационара №1, Загривского ФАПа, Выскатской амбулатории. </w:t>
      </w:r>
    </w:p>
    <w:p>
      <w:pPr>
        <w:pStyle w:val="Normal"/>
        <w:ind w:firstLine="709"/>
        <w:jc w:val="both"/>
        <w:rPr>
          <w:sz w:val="28"/>
          <w:szCs w:val="28"/>
        </w:rPr>
      </w:pPr>
      <w:r>
        <w:rPr>
          <w:sz w:val="28"/>
          <w:szCs w:val="28"/>
        </w:rPr>
        <w:t>За счет средств областного бюджета для больницы приобретены передвижной флюрограф и 2 передвижные амбулатории.</w:t>
      </w:r>
    </w:p>
    <w:p>
      <w:pPr>
        <w:pStyle w:val="Normal"/>
        <w:tabs>
          <w:tab w:val="left" w:pos="900" w:leader="none"/>
          <w:tab w:val="left" w:pos="1080" w:leader="none"/>
        </w:tabs>
        <w:ind w:firstLine="709"/>
        <w:jc w:val="both"/>
        <w:rPr>
          <w:sz w:val="28"/>
          <w:szCs w:val="28"/>
        </w:rPr>
      </w:pPr>
      <w:r>
        <w:rPr>
          <w:bCs/>
          <w:sz w:val="28"/>
          <w:szCs w:val="28"/>
        </w:rPr>
        <w:t>В 2019</w:t>
      </w:r>
      <w:r>
        <w:rPr>
          <w:sz w:val="28"/>
          <w:szCs w:val="28"/>
        </w:rPr>
        <w:t xml:space="preserve"> г. ремонты выполнены в сумме 19 988,3 тыс.руб., в т.ч.  капитальный ремонт здания детской поликлиники, капитальный ремонт Загривского ФАПа, капитальный ремонт Выскатской амбулатории, капитальный ремонт отделения стационара №1 для перевода неврологического отделения, ремонт кровли здания гаража.</w:t>
      </w:r>
    </w:p>
    <w:p>
      <w:pPr>
        <w:pStyle w:val="Normal"/>
        <w:ind w:firstLine="709"/>
        <w:jc w:val="both"/>
        <w:rPr>
          <w:sz w:val="28"/>
          <w:szCs w:val="28"/>
        </w:rPr>
      </w:pPr>
      <w:r>
        <w:rPr>
          <w:sz w:val="28"/>
          <w:szCs w:val="28"/>
        </w:rPr>
        <w:t xml:space="preserve">В 2019 году продолжали использоваться возможности направления пациентов в специализированные учреждения области и СПб, в том числе с использованием санитарной авиации. За 2019 год санавиацией была осуществлена эвакуация 18 пациентов. </w:t>
      </w:r>
    </w:p>
    <w:p>
      <w:pPr>
        <w:pStyle w:val="Normal"/>
        <w:ind w:firstLine="709"/>
        <w:jc w:val="both"/>
        <w:rPr>
          <w:sz w:val="28"/>
          <w:szCs w:val="28"/>
        </w:rPr>
      </w:pPr>
      <w:r>
        <w:rPr>
          <w:sz w:val="28"/>
          <w:szCs w:val="28"/>
        </w:rPr>
        <w:t>Всего за отчетный год было направлено 184 пациента для оказания высокотехнологичной медицинской помощи, 139 из которых данный вид помощи получили.</w:t>
      </w:r>
    </w:p>
    <w:p>
      <w:pPr>
        <w:pStyle w:val="Normal"/>
        <w:ind w:firstLine="709"/>
        <w:jc w:val="both"/>
        <w:rPr>
          <w:sz w:val="28"/>
          <w:szCs w:val="28"/>
        </w:rPr>
      </w:pPr>
      <w:r>
        <w:rPr>
          <w:sz w:val="28"/>
          <w:szCs w:val="28"/>
        </w:rPr>
        <w:t>Плановые показатели работы стационара выполнены на 118,9%; по амбулаторной службе на 88,2%; по отделению скорой медицинской помощи на 89,2%.</w:t>
      </w:r>
    </w:p>
    <w:p>
      <w:pPr>
        <w:pStyle w:val="Normal"/>
        <w:ind w:firstLine="709"/>
        <w:jc w:val="both"/>
        <w:rPr>
          <w:sz w:val="28"/>
          <w:szCs w:val="28"/>
        </w:rPr>
      </w:pPr>
      <w:r>
        <w:rPr>
          <w:sz w:val="28"/>
          <w:szCs w:val="28"/>
        </w:rPr>
        <w:t>Согласно проведенной независимой оценке качества 94,2% населения района в целом удовлетворены оказанием медицинской помощи.</w:t>
      </w:r>
    </w:p>
    <w:p>
      <w:pPr>
        <w:pStyle w:val="NoSpacing"/>
        <w:ind w:firstLine="709"/>
        <w:jc w:val="both"/>
        <w:rPr>
          <w:rFonts w:ascii="Times New Roman" w:hAnsi="Times New Roman"/>
          <w:sz w:val="28"/>
          <w:szCs w:val="28"/>
        </w:rPr>
      </w:pPr>
      <w:r>
        <w:rPr>
          <w:rFonts w:ascii="Times New Roman" w:hAnsi="Times New Roman"/>
          <w:sz w:val="28"/>
          <w:szCs w:val="28"/>
        </w:rPr>
        <w:t>Численность Сланцевской больницы составляет 720 человек. В том числе врачей 115 человек, средних медработников – 310 человек, младших – 21 человек, прочих – 274 человек.</w:t>
      </w:r>
    </w:p>
    <w:p>
      <w:pPr>
        <w:pStyle w:val="NoSpacing"/>
        <w:ind w:firstLine="709"/>
        <w:jc w:val="both"/>
        <w:rPr>
          <w:rFonts w:ascii="Times New Roman" w:hAnsi="Times New Roman"/>
          <w:sz w:val="28"/>
          <w:szCs w:val="28"/>
        </w:rPr>
      </w:pPr>
      <w:r>
        <w:rPr>
          <w:rFonts w:ascii="Times New Roman" w:hAnsi="Times New Roman"/>
          <w:sz w:val="28"/>
          <w:szCs w:val="28"/>
        </w:rPr>
        <w:t xml:space="preserve">Укомплектованность медицинских работников составляет 80,0% (2018 г. - 81%), в том числе врачей-специалистов – 66% (2018 г. – 66%), средних медработников – 79% (2018 г. 80%), укомплектованность младшим медицинским персоналом - 79% (2018 г. - 80%). </w:t>
      </w:r>
    </w:p>
    <w:p>
      <w:pPr>
        <w:pStyle w:val="NoSpacing"/>
        <w:ind w:firstLine="709"/>
        <w:jc w:val="both"/>
        <w:rPr>
          <w:rFonts w:ascii="Times New Roman" w:hAnsi="Times New Roman"/>
          <w:sz w:val="28"/>
          <w:szCs w:val="28"/>
        </w:rPr>
      </w:pPr>
      <w:r>
        <w:rPr>
          <w:rFonts w:ascii="Times New Roman" w:hAnsi="Times New Roman"/>
          <w:sz w:val="28"/>
          <w:szCs w:val="28"/>
        </w:rPr>
        <w:t xml:space="preserve">Укомплектованность врачами-терапевтами участковыми 65% (2018 г. – 80%) врачами-педиатрами участковыми 100% (2018 г. – 100%) </w:t>
      </w:r>
    </w:p>
    <w:p>
      <w:pPr>
        <w:pStyle w:val="Normal"/>
        <w:ind w:firstLine="709"/>
        <w:jc w:val="both"/>
        <w:rPr>
          <w:sz w:val="28"/>
          <w:szCs w:val="28"/>
        </w:rPr>
      </w:pPr>
      <w:r>
        <w:rPr>
          <w:sz w:val="28"/>
          <w:szCs w:val="28"/>
        </w:rPr>
        <w:t>В 2019 году закончили обучение 21 студент Государственного бюджетного образовательного учреждения среднего профессионального образования ЛО «Выборгский медицинский колледж» на базе ГБУЗ ЛО Сланцевская МБ.  Пришли работать в нашу больницу 17 выпускников, что позволило укомплектовать вакантные должности среднего медицинского персонала.</w:t>
      </w:r>
    </w:p>
    <w:p>
      <w:pPr>
        <w:pStyle w:val="NoSpacing"/>
        <w:ind w:firstLine="709"/>
        <w:jc w:val="both"/>
        <w:rPr>
          <w:rFonts w:ascii="Times New Roman" w:hAnsi="Times New Roman"/>
          <w:sz w:val="28"/>
          <w:szCs w:val="28"/>
        </w:rPr>
      </w:pPr>
      <w:r>
        <w:rPr>
          <w:rFonts w:ascii="Times New Roman" w:hAnsi="Times New Roman"/>
          <w:sz w:val="28"/>
          <w:szCs w:val="28"/>
        </w:rPr>
        <w:t>За 2019 года приняты 9 врачей: 2  врача-рентгенолога врач-хирург, врач-провизор, врач-неонатолог, врач-офтальмолог, врач-кардиолог, врач-невролог, врач-акушер-гинеколог.</w:t>
      </w:r>
    </w:p>
    <w:p>
      <w:pPr>
        <w:pStyle w:val="NoSpacing"/>
        <w:ind w:firstLine="709"/>
        <w:jc w:val="both"/>
        <w:rPr>
          <w:rFonts w:ascii="Times New Roman" w:hAnsi="Times New Roman"/>
          <w:sz w:val="28"/>
          <w:szCs w:val="28"/>
        </w:rPr>
      </w:pPr>
      <w:r>
        <w:rPr>
          <w:rFonts w:ascii="Times New Roman" w:hAnsi="Times New Roman"/>
          <w:sz w:val="28"/>
          <w:szCs w:val="28"/>
        </w:rPr>
        <w:t xml:space="preserve">Вместе с тем остро стоит вопрос нехватки врачебного персонала: врач общей практики Выскатской врачебной амбулатории, врач общей практики Старопольской врачебной амбулатории, врач общей практики поликлиники, врач-оториноларинголог, врач-анестезиолог-реаниматолог. </w:t>
      </w:r>
    </w:p>
    <w:p>
      <w:pPr>
        <w:pStyle w:val="NoSpacing"/>
        <w:ind w:firstLine="709"/>
        <w:jc w:val="both"/>
        <w:rPr>
          <w:rFonts w:ascii="Times New Roman" w:hAnsi="Times New Roman"/>
          <w:sz w:val="28"/>
          <w:szCs w:val="28"/>
        </w:rPr>
      </w:pPr>
      <w:r>
        <w:rPr>
          <w:rFonts w:ascii="Times New Roman" w:hAnsi="Times New Roman"/>
          <w:sz w:val="28"/>
          <w:szCs w:val="28"/>
        </w:rPr>
        <w:t>Текучесть врачей специалистов составила 7,8% (2018 г. – 4%).</w:t>
      </w:r>
    </w:p>
    <w:p>
      <w:pPr>
        <w:pStyle w:val="NoSpacing"/>
        <w:ind w:firstLine="709"/>
        <w:jc w:val="both"/>
        <w:rPr>
          <w:rFonts w:ascii="Times New Roman" w:hAnsi="Times New Roman"/>
          <w:sz w:val="28"/>
          <w:szCs w:val="28"/>
        </w:rPr>
      </w:pPr>
      <w:r>
        <w:rPr>
          <w:rFonts w:ascii="Times New Roman" w:hAnsi="Times New Roman"/>
          <w:sz w:val="28"/>
          <w:szCs w:val="28"/>
        </w:rPr>
        <w:t xml:space="preserve">Администрацией района совместно с ГБУЗ ЛО «Сланцевская межрайонная больница» решаются вопросы о выделении жилья вновь прибывшим специалистам, что позволяет привлечь квалифицированные кадры. За 2019 г. предоставлены шесть квартир по договору служебного найма: двум врачам-рентгенологам, врачу анестезиологу-реаниматологу, двум врачам-терапевтам-участковым, врачу-неонатологу. </w:t>
      </w:r>
    </w:p>
    <w:p>
      <w:pPr>
        <w:pStyle w:val="NoSpacing"/>
        <w:ind w:firstLine="709"/>
        <w:jc w:val="both"/>
        <w:rPr>
          <w:rFonts w:ascii="Times New Roman" w:hAnsi="Times New Roman"/>
          <w:sz w:val="28"/>
          <w:szCs w:val="28"/>
        </w:rPr>
      </w:pPr>
      <w:r>
        <w:rPr>
          <w:rFonts w:ascii="Times New Roman" w:hAnsi="Times New Roman"/>
          <w:sz w:val="28"/>
          <w:szCs w:val="28"/>
        </w:rPr>
        <w:t>Средняя заработная плата врачей составляет 77 431,0 рубль, среднего медицинского персонала – 36 366,0 рублей, младшего медицинского персонала – 36 206,0 рублей.</w:t>
      </w:r>
    </w:p>
    <w:p>
      <w:pPr>
        <w:pStyle w:val="Normal"/>
        <w:jc w:val="center"/>
        <w:rPr/>
      </w:pPr>
      <w:r>
        <w:rPr>
          <w:rFonts w:cs="Times New Roman"/>
          <w:b/>
          <w:bCs/>
          <w:color w:val="000000"/>
          <w:sz w:val="28"/>
          <w:szCs w:val="28"/>
          <w:lang w:eastAsia="ru-RU"/>
        </w:rPr>
        <w:t>Деятельность комиссии по делам несовершеннолетних и защите их прав</w:t>
      </w:r>
    </w:p>
    <w:p>
      <w:pPr>
        <w:pStyle w:val="Normal"/>
        <w:widowControl w:val="false"/>
        <w:suppressAutoHyphens w:val="true"/>
        <w:bidi w:val="0"/>
        <w:spacing w:lineRule="auto" w:line="240"/>
        <w:ind w:left="0" w:right="0" w:firstLine="510"/>
        <w:jc w:val="both"/>
        <w:rPr/>
      </w:pPr>
      <w:r>
        <w:rPr>
          <w:rFonts w:cs="Times New Roman"/>
          <w:color w:val="000000"/>
          <w:sz w:val="28"/>
          <w:szCs w:val="28"/>
          <w:lang w:eastAsia="ru-RU"/>
        </w:rPr>
        <w:t xml:space="preserve">Приоритетными направлениями деятельности служб системы профилактики Сланцевского муниципального района в 2019 году были: </w:t>
      </w:r>
    </w:p>
    <w:p>
      <w:pPr>
        <w:pStyle w:val="Normal"/>
        <w:widowControl w:val="false"/>
        <w:suppressAutoHyphens w:val="true"/>
        <w:bidi w:val="0"/>
        <w:spacing w:lineRule="auto" w:line="240"/>
        <w:ind w:left="0" w:right="0" w:firstLine="510"/>
        <w:jc w:val="both"/>
        <w:rPr/>
      </w:pPr>
      <w:r>
        <w:rPr>
          <w:rFonts w:cs="Times New Roman"/>
          <w:bCs/>
          <w:iCs/>
          <w:color w:val="000000"/>
          <w:sz w:val="28"/>
          <w:szCs w:val="28"/>
          <w:lang w:eastAsia="ru-RU"/>
        </w:rPr>
        <w:t xml:space="preserve">1. Работа по предупреждению совершения несовершеннолетними правонарушений и преступлений; </w:t>
      </w:r>
    </w:p>
    <w:p>
      <w:pPr>
        <w:pStyle w:val="Normal"/>
        <w:widowControl w:val="false"/>
        <w:suppressAutoHyphens w:val="true"/>
        <w:bidi w:val="0"/>
        <w:spacing w:lineRule="auto" w:line="240"/>
        <w:ind w:left="0" w:right="0" w:firstLine="567"/>
        <w:jc w:val="both"/>
        <w:rPr/>
      </w:pPr>
      <w:r>
        <w:rPr>
          <w:rFonts w:cs="Times New Roman"/>
          <w:bCs/>
          <w:iCs/>
          <w:color w:val="000000"/>
          <w:sz w:val="28"/>
          <w:szCs w:val="28"/>
          <w:lang w:eastAsia="ru-RU"/>
        </w:rPr>
        <w:t>2. Усиление профилактической работы по раннему выявлению несовершеннолетних склонных к совершению правонарушений и преступлений</w:t>
      </w:r>
    </w:p>
    <w:p>
      <w:pPr>
        <w:pStyle w:val="Normal"/>
        <w:widowControl w:val="false"/>
        <w:suppressAutoHyphens w:val="true"/>
        <w:bidi w:val="0"/>
        <w:spacing w:lineRule="auto" w:line="240"/>
        <w:ind w:left="0" w:right="0" w:firstLine="567"/>
        <w:jc w:val="both"/>
        <w:rPr/>
      </w:pPr>
      <w:r>
        <w:rPr>
          <w:rFonts w:cs="Times New Roman"/>
          <w:bCs/>
          <w:iCs/>
          <w:color w:val="000000"/>
          <w:sz w:val="28"/>
          <w:szCs w:val="28"/>
          <w:lang w:eastAsia="ru-RU"/>
        </w:rPr>
        <w:t>3. Обеспечение досуговой занятости несовершеннолетних, состоящих на учете в ПДН ОМВД России по Сланцевскому району;</w:t>
      </w:r>
    </w:p>
    <w:p>
      <w:pPr>
        <w:pStyle w:val="Normal"/>
        <w:widowControl w:val="false"/>
        <w:suppressAutoHyphens w:val="true"/>
        <w:bidi w:val="0"/>
        <w:spacing w:lineRule="auto" w:line="240"/>
        <w:ind w:left="0" w:right="0" w:firstLine="567"/>
        <w:jc w:val="both"/>
        <w:rPr/>
      </w:pPr>
      <w:r>
        <w:rPr>
          <w:rFonts w:cs="Times New Roman"/>
          <w:bCs/>
          <w:iCs/>
          <w:color w:val="000000"/>
          <w:sz w:val="28"/>
          <w:szCs w:val="28"/>
          <w:lang w:eastAsia="ru-RU"/>
        </w:rPr>
        <w:t>4. Защита прав и законных интересов несовершеннолетних.</w:t>
      </w:r>
    </w:p>
    <w:p>
      <w:pPr>
        <w:pStyle w:val="Normal"/>
        <w:widowControl w:val="false"/>
        <w:suppressAutoHyphens w:val="true"/>
        <w:bidi w:val="0"/>
        <w:spacing w:lineRule="auto" w:line="240"/>
        <w:ind w:left="0" w:right="0" w:firstLine="624"/>
        <w:jc w:val="both"/>
        <w:rPr/>
      </w:pPr>
      <w:r>
        <w:rPr>
          <w:rFonts w:cs="Times New Roman"/>
          <w:color w:val="000000"/>
          <w:sz w:val="28"/>
          <w:szCs w:val="28"/>
          <w:lang w:eastAsia="ru-RU"/>
        </w:rPr>
        <w:t>В 2019 году комиссией по делам несовершеннолетних и защите их прав проведено 23 заседания.</w:t>
      </w:r>
    </w:p>
    <w:p>
      <w:pPr>
        <w:pStyle w:val="Normal"/>
        <w:widowControl w:val="false"/>
        <w:suppressAutoHyphens w:val="true"/>
        <w:bidi w:val="0"/>
        <w:spacing w:lineRule="auto" w:line="240"/>
        <w:ind w:left="0" w:right="0" w:firstLine="510"/>
        <w:jc w:val="both"/>
        <w:rPr/>
      </w:pPr>
      <w:r>
        <w:rPr>
          <w:rFonts w:cs="Times New Roman"/>
          <w:color w:val="000000"/>
          <w:sz w:val="28"/>
          <w:szCs w:val="28"/>
          <w:lang w:eastAsia="ru-RU"/>
        </w:rPr>
        <w:t>Административная практика за 2019 год представлена следующими статистическими данными:</w:t>
      </w:r>
    </w:p>
    <w:p>
      <w:pPr>
        <w:pStyle w:val="Normal"/>
        <w:widowControl w:val="false"/>
        <w:suppressAutoHyphens w:val="true"/>
        <w:bidi w:val="0"/>
        <w:spacing w:lineRule="auto" w:line="240"/>
        <w:ind w:left="0" w:right="0" w:firstLine="510"/>
        <w:jc w:val="both"/>
        <w:rPr/>
      </w:pPr>
      <w:r>
        <w:rPr>
          <w:rFonts w:cs="Times New Roman"/>
          <w:bCs/>
          <w:color w:val="000000"/>
          <w:sz w:val="28"/>
          <w:szCs w:val="28"/>
          <w:lang w:eastAsia="ru-RU"/>
        </w:rPr>
        <w:t>Количество рассмотренных материалов – 384:</w:t>
      </w:r>
    </w:p>
    <w:p>
      <w:pPr>
        <w:pStyle w:val="Normal"/>
        <w:spacing w:lineRule="auto" w:line="240"/>
        <w:ind w:left="0" w:right="0" w:hanging="0"/>
        <w:jc w:val="both"/>
        <w:rPr>
          <w:rFonts w:cs="Times New Roman"/>
          <w:color w:val="000000"/>
          <w:sz w:val="28"/>
          <w:szCs w:val="28"/>
          <w:lang w:eastAsia="ru-RU"/>
        </w:rPr>
      </w:pPr>
      <w:r>
        <w:rPr>
          <w:rFonts w:cs="Times New Roman"/>
          <w:bCs/>
          <w:color w:val="000000"/>
          <w:sz w:val="28"/>
          <w:szCs w:val="28"/>
          <w:lang w:eastAsia="ru-RU"/>
        </w:rPr>
        <w:t>- в том числе на несовершеннолетних – 199;</w:t>
      </w:r>
    </w:p>
    <w:p>
      <w:pPr>
        <w:pStyle w:val="Normal"/>
        <w:spacing w:lineRule="auto" w:line="240"/>
        <w:ind w:left="0" w:right="0" w:hanging="0"/>
        <w:jc w:val="both"/>
        <w:rPr>
          <w:rFonts w:cs="Times New Roman"/>
          <w:bCs/>
          <w:color w:val="000000"/>
          <w:sz w:val="28"/>
          <w:szCs w:val="28"/>
          <w:lang w:eastAsia="ru-RU"/>
        </w:rPr>
      </w:pPr>
      <w:r>
        <w:rPr>
          <w:rFonts w:cs="Times New Roman"/>
          <w:bCs/>
          <w:color w:val="000000"/>
          <w:sz w:val="28"/>
          <w:szCs w:val="28"/>
          <w:lang w:eastAsia="ru-RU"/>
        </w:rPr>
        <w:t>- в том числе на родителей или лиц их заменяющих – 175;</w:t>
      </w:r>
    </w:p>
    <w:p>
      <w:pPr>
        <w:pStyle w:val="Normal"/>
        <w:spacing w:lineRule="auto" w:line="240"/>
        <w:ind w:left="0" w:right="0" w:hanging="0"/>
        <w:jc w:val="both"/>
        <w:rPr>
          <w:rFonts w:cs="Times New Roman"/>
          <w:color w:val="000000"/>
          <w:sz w:val="28"/>
          <w:szCs w:val="28"/>
          <w:lang w:eastAsia="ru-RU"/>
        </w:rPr>
      </w:pPr>
      <w:r>
        <w:rPr>
          <w:rFonts w:cs="Times New Roman"/>
          <w:bCs/>
          <w:color w:val="000000"/>
          <w:sz w:val="28"/>
          <w:szCs w:val="28"/>
          <w:lang w:eastAsia="ru-RU"/>
        </w:rPr>
        <w:t>- в том числе на других лиц – 10.</w:t>
      </w:r>
    </w:p>
    <w:p>
      <w:pPr>
        <w:pStyle w:val="Normal"/>
        <w:widowControl w:val="false"/>
        <w:suppressAutoHyphens w:val="true"/>
        <w:bidi w:val="0"/>
        <w:spacing w:lineRule="auto" w:line="240"/>
        <w:ind w:left="0" w:right="0" w:firstLine="510"/>
        <w:jc w:val="both"/>
        <w:rPr/>
      </w:pPr>
      <w:r>
        <w:rPr>
          <w:rFonts w:cs="Times New Roman"/>
          <w:bCs/>
          <w:color w:val="000000"/>
          <w:sz w:val="28"/>
          <w:szCs w:val="28"/>
          <w:lang w:eastAsia="ru-RU"/>
        </w:rPr>
        <w:t>Общая сумма наложенных штрафов – 202500 руб.</w:t>
      </w:r>
    </w:p>
    <w:p>
      <w:pPr>
        <w:pStyle w:val="Normal"/>
        <w:widowControl w:val="false"/>
        <w:suppressAutoHyphens w:val="true"/>
        <w:bidi w:val="0"/>
        <w:spacing w:lineRule="auto" w:line="240"/>
        <w:ind w:left="0" w:right="0" w:firstLine="510"/>
        <w:jc w:val="both"/>
        <w:rPr/>
      </w:pPr>
      <w:r>
        <w:rPr>
          <w:rFonts w:cs="Times New Roman"/>
          <w:bCs/>
          <w:color w:val="000000"/>
          <w:sz w:val="28"/>
          <w:szCs w:val="28"/>
          <w:lang w:eastAsia="ru-RU"/>
        </w:rPr>
        <w:t xml:space="preserve">Общая сумма добровольно оплаченных штрафов – 90400 руб. </w:t>
      </w:r>
    </w:p>
    <w:p>
      <w:pPr>
        <w:pStyle w:val="Normal"/>
        <w:widowControl w:val="false"/>
        <w:suppressAutoHyphens w:val="true"/>
        <w:bidi w:val="0"/>
        <w:spacing w:lineRule="auto" w:line="240"/>
        <w:ind w:left="0" w:right="0" w:firstLine="510"/>
        <w:jc w:val="both"/>
        <w:rPr/>
      </w:pPr>
      <w:r>
        <w:rPr>
          <w:rFonts w:cs="Times New Roman"/>
          <w:color w:val="000000"/>
          <w:sz w:val="28"/>
          <w:szCs w:val="28"/>
          <w:lang w:eastAsia="ru-RU"/>
        </w:rPr>
        <w:t>По состоянию на 01.01.2020 года, на учете</w:t>
      </w:r>
      <w:r>
        <w:rPr>
          <w:rFonts w:cs="Times New Roman CYR"/>
          <w:color w:val="000000"/>
          <w:sz w:val="28"/>
          <w:szCs w:val="28"/>
          <w:lang w:eastAsia="ru-RU"/>
        </w:rPr>
        <w:t xml:space="preserve"> в службах системы профилактики Сланцевского муниципального района в категории «Семьи, находящиеся в социально — опасном положении» состоит 47 семей, в них воспитывается 98 несовершеннолетних.</w:t>
      </w:r>
    </w:p>
    <w:p>
      <w:pPr>
        <w:pStyle w:val="Normal"/>
        <w:widowControl w:val="false"/>
        <w:suppressAutoHyphens w:val="true"/>
        <w:bidi w:val="0"/>
        <w:spacing w:lineRule="auto" w:line="240"/>
        <w:ind w:left="0" w:right="0" w:firstLine="624"/>
        <w:jc w:val="both"/>
        <w:rPr/>
      </w:pPr>
      <w:r>
        <w:rPr>
          <w:rFonts w:cs="Times New Roman CYR"/>
          <w:color w:val="000000"/>
          <w:sz w:val="28"/>
          <w:szCs w:val="28"/>
          <w:lang w:eastAsia="ru-RU"/>
        </w:rPr>
        <w:t xml:space="preserve">Проблемы семейного неблагополучия, асоциального поведения родителей, жестокого обращения с детьми стоят </w:t>
      </w:r>
      <w:r>
        <w:rPr>
          <w:rFonts w:cs="Times New Roman CYR"/>
          <w:b/>
          <w:bCs/>
          <w:color w:val="000000"/>
          <w:sz w:val="28"/>
          <w:szCs w:val="28"/>
          <w:lang w:eastAsia="ru-RU"/>
        </w:rPr>
        <w:t>на особом контроле</w:t>
      </w:r>
      <w:r>
        <w:rPr>
          <w:rFonts w:cs="Times New Roman CYR"/>
          <w:color w:val="000000"/>
          <w:sz w:val="28"/>
          <w:szCs w:val="28"/>
          <w:lang w:eastAsia="ru-RU"/>
        </w:rPr>
        <w:t xml:space="preserve"> служб системы профилактики. </w:t>
      </w:r>
    </w:p>
    <w:p>
      <w:pPr>
        <w:pStyle w:val="Normal"/>
        <w:widowControl w:val="false"/>
        <w:suppressAutoHyphens w:val="true"/>
        <w:bidi w:val="0"/>
        <w:spacing w:lineRule="auto" w:line="240"/>
        <w:ind w:left="0" w:right="0" w:firstLine="510"/>
        <w:jc w:val="both"/>
        <w:rPr/>
      </w:pPr>
      <w:r>
        <w:rPr>
          <w:rFonts w:cs="Times New Roman CYR"/>
          <w:color w:val="000000"/>
          <w:sz w:val="28"/>
          <w:szCs w:val="28"/>
          <w:lang w:eastAsia="ru-RU"/>
        </w:rPr>
        <w:t>Ежегодно с целью усиления работы по профилактике безнадзорности и социального сиротства, а также с целью реализации предложений служб системы профилактики, комиссия разрабатывает и принимает График проведения комплексных рейдов службами системы профилактики.</w:t>
      </w:r>
    </w:p>
    <w:p>
      <w:pPr>
        <w:pStyle w:val="Normal"/>
        <w:widowControl w:val="false"/>
        <w:suppressAutoHyphens w:val="true"/>
        <w:bidi w:val="0"/>
        <w:spacing w:lineRule="auto" w:line="240"/>
        <w:ind w:left="0" w:right="0" w:firstLine="510"/>
        <w:jc w:val="both"/>
        <w:rPr/>
      </w:pPr>
      <w:r>
        <w:rPr>
          <w:rFonts w:cs="Times New Roman CYR"/>
          <w:color w:val="000000"/>
          <w:sz w:val="28"/>
          <w:szCs w:val="28"/>
          <w:lang w:eastAsia="ru-RU"/>
        </w:rPr>
        <w:t xml:space="preserve">В 2019 году проведено - 21 рейд, в том числе 4 с участием передвижной лаборатории Областного наркологического диспансера, а также </w:t>
      </w:r>
      <w:r>
        <w:rPr>
          <w:rFonts w:cs="Times New Roman"/>
          <w:color w:val="000000"/>
          <w:sz w:val="28"/>
          <w:szCs w:val="28"/>
          <w:lang w:eastAsia="ru-RU"/>
        </w:rPr>
        <w:t>ряд мероприятий, направленных на усиление взаимодействия служб системы профилактики, защиту прав и законных интересов несовершеннолетних.</w:t>
      </w:r>
    </w:p>
    <w:p>
      <w:pPr>
        <w:pStyle w:val="Normal"/>
        <w:widowControl w:val="false"/>
        <w:suppressAutoHyphens w:val="true"/>
        <w:bidi w:val="0"/>
        <w:spacing w:lineRule="auto" w:line="240"/>
        <w:ind w:left="0" w:right="0" w:firstLine="567"/>
        <w:jc w:val="both"/>
        <w:rPr/>
      </w:pPr>
      <w:r>
        <w:rPr>
          <w:rFonts w:cs="Times New Roman CYR"/>
          <w:color w:val="000000"/>
          <w:sz w:val="28"/>
          <w:szCs w:val="28"/>
          <w:lang w:eastAsia="ru-RU"/>
        </w:rPr>
        <w:t>Профилактическая работа, проводимая на территории Сланцевского района субъектами профилактики в прошедшем году, позволила добиться определенных результатов в динамике и структуре подростковой преступности, а именно:</w:t>
      </w:r>
    </w:p>
    <w:p>
      <w:pPr>
        <w:pStyle w:val="Normal"/>
        <w:widowControl/>
        <w:numPr>
          <w:ilvl w:val="0"/>
          <w:numId w:val="4"/>
        </w:numPr>
        <w:tabs>
          <w:tab w:val="left" w:pos="1134" w:leader="none"/>
        </w:tabs>
        <w:suppressAutoHyphens w:val="false"/>
        <w:spacing w:lineRule="auto" w:line="240"/>
        <w:ind w:left="0" w:right="0" w:hanging="0"/>
        <w:jc w:val="both"/>
        <w:rPr>
          <w:rFonts w:cs="Times New Roman"/>
          <w:color w:val="000000"/>
          <w:sz w:val="28"/>
          <w:szCs w:val="28"/>
          <w:lang w:eastAsia="ru-RU"/>
        </w:rPr>
      </w:pPr>
      <w:r>
        <w:rPr>
          <w:rFonts w:cs="Times New Roman"/>
          <w:color w:val="000000"/>
          <w:sz w:val="28"/>
          <w:szCs w:val="28"/>
          <w:lang w:eastAsia="ru-RU"/>
        </w:rPr>
        <w:t>по линии несовершеннолетних совершено преступлений — 11 (-1 к уровню прошлого года).</w:t>
      </w:r>
    </w:p>
    <w:p>
      <w:pPr>
        <w:pStyle w:val="Normal"/>
        <w:widowControl/>
        <w:numPr>
          <w:ilvl w:val="0"/>
          <w:numId w:val="4"/>
        </w:numPr>
        <w:tabs>
          <w:tab w:val="left" w:pos="1134" w:leader="none"/>
        </w:tabs>
        <w:suppressAutoHyphens w:val="false"/>
        <w:spacing w:lineRule="auto" w:line="240"/>
        <w:ind w:left="0" w:right="0" w:hanging="0"/>
        <w:jc w:val="both"/>
        <w:rPr>
          <w:rFonts w:cs="Times New Roman"/>
          <w:color w:val="000000"/>
          <w:sz w:val="28"/>
          <w:szCs w:val="28"/>
          <w:lang w:eastAsia="ru-RU"/>
        </w:rPr>
      </w:pPr>
      <w:r>
        <w:rPr>
          <w:rFonts w:cs="Times New Roman"/>
          <w:color w:val="000000"/>
          <w:sz w:val="28"/>
          <w:szCs w:val="28"/>
          <w:lang w:eastAsia="ru-RU"/>
        </w:rPr>
        <w:t>число участников преступлений — 7 (-2 к уровню прошлого года).</w:t>
      </w:r>
    </w:p>
    <w:p>
      <w:pPr>
        <w:pStyle w:val="Normal"/>
        <w:spacing w:lineRule="auto" w:line="240"/>
        <w:ind w:left="0" w:right="0" w:hanging="0"/>
        <w:jc w:val="center"/>
        <w:rPr/>
      </w:pPr>
      <w:r>
        <w:rPr>
          <w:rFonts w:cs="Times New Roman"/>
          <w:b/>
          <w:color w:val="000000"/>
          <w:sz w:val="28"/>
          <w:szCs w:val="28"/>
          <w:lang w:eastAsia="ru-RU"/>
        </w:rPr>
        <w:t>Информация о деятельности ЛОГБУ «Сланцевский ЦСО «Надежда»</w:t>
      </w:r>
    </w:p>
    <w:p>
      <w:pPr>
        <w:pStyle w:val="21"/>
        <w:widowControl w:val="false"/>
        <w:shd w:val="clear" w:color="auto" w:fill="auto"/>
        <w:suppressAutoHyphens w:val="false"/>
        <w:bidi w:val="0"/>
        <w:spacing w:lineRule="auto" w:line="240"/>
        <w:ind w:left="0" w:right="0" w:firstLine="567"/>
        <w:jc w:val="both"/>
        <w:rPr/>
      </w:pPr>
      <w:r>
        <w:rPr>
          <w:color w:val="000000"/>
          <w:sz w:val="28"/>
          <w:szCs w:val="28"/>
        </w:rPr>
        <w:t xml:space="preserve">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 предоставляет социальное обслуживание: </w:t>
      </w:r>
    </w:p>
    <w:p>
      <w:pPr>
        <w:pStyle w:val="21"/>
        <w:shd w:val="clear" w:color="auto" w:fill="auto"/>
        <w:spacing w:lineRule="auto" w:line="240"/>
        <w:ind w:left="0" w:right="0" w:hanging="0"/>
        <w:jc w:val="both"/>
        <w:rPr>
          <w:color w:val="000000"/>
          <w:sz w:val="28"/>
          <w:szCs w:val="28"/>
        </w:rPr>
      </w:pPr>
      <w:r>
        <w:rPr>
          <w:color w:val="000000"/>
          <w:sz w:val="28"/>
          <w:szCs w:val="28"/>
        </w:rPr>
        <w:t>- в стационарной форме;</w:t>
      </w:r>
    </w:p>
    <w:p>
      <w:pPr>
        <w:pStyle w:val="21"/>
        <w:shd w:val="clear" w:color="auto" w:fill="auto"/>
        <w:spacing w:lineRule="auto" w:line="240"/>
        <w:ind w:left="0" w:right="0" w:hanging="0"/>
        <w:jc w:val="both"/>
        <w:rPr>
          <w:color w:val="000000"/>
          <w:sz w:val="28"/>
          <w:szCs w:val="28"/>
        </w:rPr>
      </w:pPr>
      <w:r>
        <w:rPr>
          <w:color w:val="000000"/>
          <w:sz w:val="28"/>
          <w:szCs w:val="28"/>
        </w:rPr>
        <w:t>- в полустационарной форме;</w:t>
      </w:r>
    </w:p>
    <w:p>
      <w:pPr>
        <w:pStyle w:val="21"/>
        <w:shd w:val="clear" w:color="auto" w:fill="auto"/>
        <w:spacing w:lineRule="auto" w:line="240"/>
        <w:ind w:left="0" w:right="0" w:hanging="0"/>
        <w:jc w:val="both"/>
        <w:rPr>
          <w:sz w:val="28"/>
          <w:szCs w:val="28"/>
        </w:rPr>
      </w:pPr>
      <w:r>
        <w:rPr>
          <w:color w:val="000000"/>
          <w:sz w:val="28"/>
          <w:szCs w:val="28"/>
        </w:rPr>
        <w:t>- на дому.</w:t>
      </w:r>
    </w:p>
    <w:p>
      <w:pPr>
        <w:pStyle w:val="21"/>
        <w:widowControl w:val="false"/>
        <w:shd w:val="clear" w:color="auto" w:fill="auto"/>
        <w:tabs>
          <w:tab w:val="right" w:pos="9333" w:leader="none"/>
        </w:tabs>
        <w:suppressAutoHyphens w:val="false"/>
        <w:bidi w:val="0"/>
        <w:spacing w:lineRule="auto" w:line="240"/>
        <w:ind w:left="0" w:right="0" w:firstLine="567"/>
        <w:jc w:val="both"/>
        <w:rPr/>
      </w:pPr>
      <w:r>
        <w:rPr>
          <w:color w:val="000000"/>
          <w:sz w:val="28"/>
          <w:szCs w:val="28"/>
        </w:rPr>
        <w:t>Учреждением реализуются следующие технологии социального обслуживания граждан: «Заботливый сосед», «Служба сиделок», «Домой без преград», «Доставка лиц свыше 65 лет, проживающих в сельской местности, в медицинские организации, для проведения дополнительных скринингов на выявление отдельных социально значимых неинфекционных заболеваний», «Университет третьего возраста» для граждан пожилого возраста и инвалидов, «Школа здоровья», работа пункта проката по выдаче средств реабилитации граждан.</w:t>
      </w:r>
    </w:p>
    <w:p>
      <w:pPr>
        <w:pStyle w:val="21"/>
        <w:widowControl w:val="false"/>
        <w:shd w:val="clear" w:color="auto" w:fill="auto"/>
        <w:tabs>
          <w:tab w:val="right" w:pos="9333" w:leader="none"/>
        </w:tabs>
        <w:suppressAutoHyphens w:val="false"/>
        <w:bidi w:val="0"/>
        <w:spacing w:lineRule="auto" w:line="240"/>
        <w:ind w:left="0" w:right="0" w:firstLine="567"/>
        <w:jc w:val="both"/>
        <w:rPr/>
      </w:pPr>
      <w:r>
        <w:rPr>
          <w:color w:val="000000"/>
          <w:sz w:val="28"/>
          <w:szCs w:val="28"/>
        </w:rPr>
        <w:t>За период 2019 года финансирование на цели выполнения государственного задания составило 29 581 175,76 рублей. Кроме того, были выделены субсидии на реализацию мероприятий в рамках государственных программ для целей социального обслуживания в размере 6 660 144,00 рублей, а также для осуществления ремонтов в рамках формирования доступной среды для инвалидов в размере 5 984 000,00 рублей.</w:t>
      </w:r>
    </w:p>
    <w:p>
      <w:pPr>
        <w:pStyle w:val="21"/>
        <w:widowControl w:val="false"/>
        <w:shd w:val="clear" w:color="auto" w:fill="auto"/>
        <w:suppressAutoHyphens w:val="false"/>
        <w:bidi w:val="0"/>
        <w:spacing w:lineRule="auto" w:line="240"/>
        <w:ind w:left="0" w:right="0" w:firstLine="510"/>
        <w:jc w:val="both"/>
        <w:rPr/>
      </w:pPr>
      <w:r>
        <w:rPr>
          <w:color w:val="000000"/>
          <w:sz w:val="28"/>
          <w:szCs w:val="28"/>
        </w:rPr>
        <w:t>Приобретено автотранспортное средство для перевозки людей с ограниченными возможностями, проведены ремонтные работыы для формирования доступной среды для инвалидов.</w:t>
      </w:r>
    </w:p>
    <w:p>
      <w:pPr>
        <w:pStyle w:val="21"/>
        <w:widowControl w:val="false"/>
        <w:shd w:val="clear" w:color="auto" w:fill="auto"/>
        <w:suppressAutoHyphens w:val="false"/>
        <w:bidi w:val="0"/>
        <w:spacing w:lineRule="auto" w:line="240"/>
        <w:ind w:left="0" w:right="0" w:firstLine="567"/>
        <w:jc w:val="both"/>
        <w:rPr/>
      </w:pPr>
      <w:r>
        <w:rPr>
          <w:color w:val="000000"/>
          <w:sz w:val="28"/>
          <w:szCs w:val="28"/>
        </w:rPr>
        <w:t>В целях обеспечения безопасности израсходовано 538 тыс.руб. на монтаж системы видеонаблюдения и системы оповещения маломобильных граждан о пожаре.</w:t>
      </w:r>
    </w:p>
    <w:p>
      <w:pPr>
        <w:pStyle w:val="21"/>
        <w:widowControl w:val="false"/>
        <w:shd w:val="clear" w:color="auto" w:fill="auto"/>
        <w:suppressAutoHyphens w:val="false"/>
        <w:bidi w:val="0"/>
        <w:spacing w:lineRule="auto" w:line="240"/>
        <w:ind w:left="0" w:right="0" w:firstLine="510"/>
        <w:jc w:val="both"/>
        <w:rPr/>
      </w:pPr>
      <w:r>
        <w:rPr>
          <w:color w:val="000000"/>
          <w:sz w:val="28"/>
          <w:szCs w:val="28"/>
        </w:rPr>
        <w:t>В 2020 году запланирована установка нового ограждения территории Центра на сумму 1800 тыс.руб., проведение работ по установке резервного источника электропитания на сумму 2300 тыс.руб.</w:t>
      </w:r>
    </w:p>
    <w:p>
      <w:pPr>
        <w:pStyle w:val="21"/>
        <w:widowControl w:val="false"/>
        <w:shd w:val="clear" w:color="auto" w:fill="auto"/>
        <w:suppressAutoHyphens w:val="false"/>
        <w:bidi w:val="0"/>
        <w:spacing w:lineRule="auto" w:line="240"/>
        <w:ind w:left="0" w:right="0" w:firstLine="567"/>
        <w:jc w:val="both"/>
        <w:rPr/>
      </w:pPr>
      <w:r>
        <w:rPr>
          <w:color w:val="000000"/>
          <w:sz w:val="28"/>
          <w:szCs w:val="28"/>
        </w:rPr>
        <w:t>В стационарной форме временного пребывания социальные услуги оказаны 56 гражданам. За период январь-декабрь 2019 оказано 43 563 услуги.</w:t>
      </w:r>
    </w:p>
    <w:p>
      <w:pPr>
        <w:pStyle w:val="21"/>
        <w:widowControl w:val="false"/>
        <w:shd w:val="clear" w:color="auto" w:fill="auto"/>
        <w:suppressAutoHyphens w:val="false"/>
        <w:bidi w:val="0"/>
        <w:spacing w:lineRule="auto" w:line="240"/>
        <w:ind w:left="0" w:right="0" w:firstLine="510"/>
        <w:jc w:val="both"/>
        <w:rPr/>
      </w:pPr>
      <w:r>
        <w:rPr>
          <w:color w:val="000000"/>
          <w:sz w:val="28"/>
          <w:szCs w:val="28"/>
        </w:rPr>
        <w:t>В полустационарной форме дневного пребывания социальные услуги оказаны 139 гражданам. За период январь-декабрь 2019 с учетом срочных социальных услуг оказано 58 974 услуги.</w:t>
      </w:r>
    </w:p>
    <w:p>
      <w:pPr>
        <w:pStyle w:val="21"/>
        <w:widowControl w:val="false"/>
        <w:shd w:val="clear" w:color="auto" w:fill="auto"/>
        <w:suppressAutoHyphens w:val="false"/>
        <w:bidi w:val="0"/>
        <w:spacing w:lineRule="auto" w:line="240"/>
        <w:ind w:left="0" w:right="0" w:firstLine="567"/>
        <w:jc w:val="both"/>
        <w:rPr/>
      </w:pPr>
      <w:r>
        <w:rPr>
          <w:color w:val="000000"/>
          <w:sz w:val="28"/>
          <w:szCs w:val="28"/>
        </w:rPr>
        <w:t>Социальное обслуживание на дому: социальные услуги оказаны 313 гражданам. За период январь-декабрь 2019 оказано 129 439 услуг.</w:t>
      </w:r>
    </w:p>
    <w:p>
      <w:pPr>
        <w:pStyle w:val="21"/>
        <w:widowControl w:val="false"/>
        <w:shd w:val="clear" w:color="auto" w:fill="auto"/>
        <w:suppressAutoHyphens w:val="false"/>
        <w:bidi w:val="0"/>
        <w:spacing w:lineRule="auto" w:line="240"/>
        <w:ind w:left="0" w:right="0" w:firstLine="567"/>
        <w:jc w:val="both"/>
        <w:rPr/>
      </w:pPr>
      <w:r>
        <w:rPr>
          <w:color w:val="000000"/>
          <w:sz w:val="28"/>
          <w:szCs w:val="28"/>
        </w:rPr>
        <w:t>Стоимость предоставления социальных услуг установлена на основании Постановления Правительства Ленинградской области от 9 декабря 2014 года № 577 «О порядке утверждения тарифов на социальные услуги, размер платы за предоставление социальных услуг и порядке взимания платы за их предоставление», Постановления Правительства Ленинградской области от 21.11.2018 № 453 «Об утверждении тарифов на социальные услуги на 2019 год».</w:t>
      </w:r>
    </w:p>
    <w:p>
      <w:pPr>
        <w:pStyle w:val="21"/>
        <w:widowControl w:val="false"/>
        <w:shd w:val="clear" w:color="auto" w:fill="auto"/>
        <w:suppressAutoHyphens w:val="false"/>
        <w:bidi w:val="0"/>
        <w:spacing w:lineRule="auto" w:line="240"/>
        <w:ind w:left="0" w:right="0" w:firstLine="567"/>
        <w:jc w:val="both"/>
        <w:rPr/>
      </w:pPr>
      <w:r>
        <w:rPr>
          <w:color w:val="000000"/>
          <w:sz w:val="28"/>
          <w:szCs w:val="28"/>
        </w:rPr>
        <w:t>Средний размер платы потребителей за оказание государственной услуги за 2019 год составил:</w:t>
      </w:r>
    </w:p>
    <w:p>
      <w:pPr>
        <w:pStyle w:val="21"/>
        <w:numPr>
          <w:ilvl w:val="0"/>
          <w:numId w:val="5"/>
        </w:numPr>
        <w:shd w:val="clear" w:color="auto" w:fill="auto"/>
        <w:tabs>
          <w:tab w:val="left" w:pos="1134" w:leader="none"/>
        </w:tabs>
        <w:spacing w:lineRule="auto" w:line="240"/>
        <w:ind w:left="0" w:right="0" w:hanging="0"/>
        <w:jc w:val="both"/>
        <w:rPr>
          <w:sz w:val="28"/>
          <w:szCs w:val="28"/>
        </w:rPr>
      </w:pPr>
      <w:r>
        <w:rPr>
          <w:color w:val="000000"/>
          <w:sz w:val="28"/>
          <w:szCs w:val="28"/>
        </w:rPr>
        <w:t xml:space="preserve"> </w:t>
      </w:r>
      <w:r>
        <w:rPr>
          <w:color w:val="000000"/>
          <w:sz w:val="28"/>
          <w:szCs w:val="28"/>
        </w:rPr>
        <w:t>в стационарной форме временного пребывания с учетом дополнительных услуг - 2 823,55 рублей, что составляет в среднем 10,10% от полной стоимости предоставленных услуг;</w:t>
      </w:r>
    </w:p>
    <w:p>
      <w:pPr>
        <w:pStyle w:val="21"/>
        <w:numPr>
          <w:ilvl w:val="0"/>
          <w:numId w:val="5"/>
        </w:numPr>
        <w:shd w:val="clear" w:color="auto" w:fill="auto"/>
        <w:tabs>
          <w:tab w:val="left" w:pos="1134" w:leader="none"/>
        </w:tabs>
        <w:spacing w:lineRule="auto" w:line="240"/>
        <w:ind w:left="0" w:right="0" w:hanging="0"/>
        <w:jc w:val="both"/>
        <w:rPr>
          <w:sz w:val="28"/>
          <w:szCs w:val="28"/>
        </w:rPr>
      </w:pPr>
      <w:r>
        <w:rPr>
          <w:color w:val="000000"/>
          <w:sz w:val="28"/>
          <w:szCs w:val="28"/>
        </w:rPr>
        <w:t xml:space="preserve"> </w:t>
      </w:r>
      <w:r>
        <w:rPr>
          <w:color w:val="000000"/>
          <w:sz w:val="28"/>
          <w:szCs w:val="28"/>
        </w:rPr>
        <w:t>в полустационарной форме дневного пребывания с учетом дополнительных услуг - 401,34 рублей, что составляет в среднем 2,81% от полной стоимости предоставленных услуг;</w:t>
      </w:r>
    </w:p>
    <w:p>
      <w:pPr>
        <w:pStyle w:val="21"/>
        <w:numPr>
          <w:ilvl w:val="0"/>
          <w:numId w:val="5"/>
        </w:numPr>
        <w:shd w:val="clear" w:color="auto" w:fill="auto"/>
        <w:tabs>
          <w:tab w:val="left" w:pos="1134" w:leader="none"/>
        </w:tabs>
        <w:spacing w:lineRule="auto" w:line="240"/>
        <w:ind w:left="0" w:right="0" w:hanging="0"/>
        <w:jc w:val="both"/>
        <w:rPr>
          <w:sz w:val="28"/>
          <w:szCs w:val="28"/>
        </w:rPr>
      </w:pPr>
      <w:r>
        <w:rPr>
          <w:color w:val="000000"/>
          <w:sz w:val="28"/>
          <w:szCs w:val="28"/>
        </w:rPr>
        <w:t xml:space="preserve"> </w:t>
      </w:r>
      <w:r>
        <w:rPr>
          <w:color w:val="000000"/>
          <w:sz w:val="28"/>
          <w:szCs w:val="28"/>
        </w:rPr>
        <w:t>социальное обслуживание на дому - 261,37 рублей, что составляет в среднем 7,6% от полной стоимости предоставленных услуг.</w:t>
      </w:r>
    </w:p>
    <w:p>
      <w:pPr>
        <w:pStyle w:val="Normal"/>
        <w:spacing w:lineRule="auto" w:line="240"/>
        <w:ind w:left="0" w:right="0" w:hanging="0"/>
        <w:jc w:val="center"/>
        <w:rPr/>
      </w:pPr>
      <w:r>
        <w:rPr>
          <w:rStyle w:val="11"/>
          <w:b/>
          <w:sz w:val="28"/>
          <w:szCs w:val="28"/>
        </w:rPr>
        <w:t xml:space="preserve"> </w:t>
      </w:r>
      <w:r>
        <w:rPr>
          <w:rStyle w:val="11"/>
          <w:b/>
          <w:sz w:val="28"/>
          <w:szCs w:val="28"/>
        </w:rPr>
        <w:t>Информация о деятельности учреждения ЛОГБУ «Сланцевский центр социального обслуживания несовершеннолетних «Мечта» за 2019 год</w:t>
      </w:r>
    </w:p>
    <w:p>
      <w:pPr>
        <w:pStyle w:val="6"/>
        <w:widowControl w:val="false"/>
        <w:shd w:val="clear" w:color="auto" w:fill="auto"/>
        <w:suppressAutoHyphens w:val="false"/>
        <w:bidi w:val="0"/>
        <w:spacing w:lineRule="auto" w:line="240"/>
        <w:ind w:left="0" w:right="0" w:firstLine="567"/>
        <w:jc w:val="both"/>
        <w:rPr/>
      </w:pPr>
      <w:r>
        <w:rPr>
          <w:rStyle w:val="11"/>
          <w:sz w:val="28"/>
          <w:szCs w:val="28"/>
        </w:rPr>
        <w:t xml:space="preserve"> </w:t>
      </w:r>
      <w:r>
        <w:rPr>
          <w:rStyle w:val="11"/>
          <w:sz w:val="28"/>
          <w:szCs w:val="28"/>
        </w:rPr>
        <w:t xml:space="preserve">За период 2019 года увеличился охват населения социальными услугами. В сравнении с 2018 годом численность обслуживаемых увеличилась на 12% </w:t>
      </w:r>
      <w:r>
        <w:rPr>
          <w:color w:val="000000"/>
          <w:sz w:val="28"/>
          <w:szCs w:val="28"/>
          <w:lang w:eastAsia="ru-RU"/>
        </w:rPr>
        <w:t xml:space="preserve">- </w:t>
      </w:r>
      <w:r>
        <w:rPr>
          <w:rStyle w:val="11"/>
          <w:sz w:val="28"/>
          <w:szCs w:val="28"/>
        </w:rPr>
        <w:t>социальные услуги в учреждении в 2019 году получили 320 граждан. Из них:</w:t>
      </w:r>
    </w:p>
    <w:p>
      <w:pPr>
        <w:pStyle w:val="6"/>
        <w:shd w:val="clear" w:color="auto" w:fill="auto"/>
        <w:tabs>
          <w:tab w:val="left" w:pos="993" w:leader="none"/>
        </w:tabs>
        <w:spacing w:lineRule="auto" w:line="240"/>
        <w:ind w:left="0" w:right="0" w:hanging="0"/>
        <w:jc w:val="both"/>
        <w:rPr/>
      </w:pPr>
      <w:r>
        <w:rPr>
          <w:rStyle w:val="11"/>
          <w:sz w:val="28"/>
          <w:szCs w:val="28"/>
        </w:rPr>
        <w:t xml:space="preserve"> </w:t>
      </w:r>
      <w:r>
        <w:rPr>
          <w:rStyle w:val="11"/>
          <w:sz w:val="28"/>
          <w:szCs w:val="28"/>
        </w:rPr>
        <w:t xml:space="preserve">- на отделении социального обслуживания несовершеннолетних в условиях дневного пребывания </w:t>
      </w:r>
      <w:r>
        <w:rPr>
          <w:rStyle w:val="3"/>
          <w:sz w:val="28"/>
          <w:szCs w:val="28"/>
        </w:rPr>
        <w:t xml:space="preserve">- </w:t>
      </w:r>
      <w:r>
        <w:rPr>
          <w:rStyle w:val="11"/>
          <w:sz w:val="28"/>
          <w:szCs w:val="28"/>
        </w:rPr>
        <w:t xml:space="preserve">120 несовершеннолетних (2018 г. </w:t>
      </w:r>
      <w:r>
        <w:rPr>
          <w:rStyle w:val="41"/>
          <w:sz w:val="28"/>
          <w:szCs w:val="28"/>
        </w:rPr>
        <w:t xml:space="preserve">- </w:t>
      </w:r>
      <w:r>
        <w:rPr>
          <w:rStyle w:val="11"/>
          <w:sz w:val="28"/>
          <w:szCs w:val="28"/>
        </w:rPr>
        <w:t>99 н/л);</w:t>
      </w:r>
    </w:p>
    <w:p>
      <w:pPr>
        <w:pStyle w:val="6"/>
        <w:shd w:val="clear" w:color="auto" w:fill="auto"/>
        <w:tabs>
          <w:tab w:val="left" w:pos="993" w:leader="none"/>
        </w:tabs>
        <w:spacing w:lineRule="auto" w:line="240"/>
        <w:ind w:left="0" w:right="0" w:hanging="0"/>
        <w:jc w:val="both"/>
        <w:rPr>
          <w:sz w:val="28"/>
          <w:szCs w:val="28"/>
        </w:rPr>
      </w:pPr>
      <w:r>
        <w:rPr>
          <w:color w:val="000000"/>
          <w:sz w:val="28"/>
          <w:szCs w:val="28"/>
          <w:lang w:eastAsia="ru-RU"/>
        </w:rPr>
        <w:t xml:space="preserve"> </w:t>
      </w:r>
      <w:r>
        <w:rPr>
          <w:color w:val="000000"/>
          <w:sz w:val="28"/>
          <w:szCs w:val="28"/>
          <w:lang w:eastAsia="ru-RU"/>
        </w:rPr>
        <w:t>-</w:t>
      </w:r>
      <w:r>
        <w:rPr>
          <w:rStyle w:val="11"/>
          <w:sz w:val="28"/>
          <w:szCs w:val="28"/>
        </w:rPr>
        <w:t xml:space="preserve">на отделении социального обслуживания несовершеннолетних </w:t>
      </w:r>
      <w:r>
        <w:rPr>
          <w:color w:val="000000"/>
          <w:sz w:val="28"/>
          <w:szCs w:val="28"/>
          <w:lang w:eastAsia="ru-RU"/>
        </w:rPr>
        <w:t xml:space="preserve">в </w:t>
      </w:r>
      <w:r>
        <w:rPr>
          <w:rStyle w:val="11"/>
          <w:sz w:val="28"/>
          <w:szCs w:val="28"/>
        </w:rPr>
        <w:t>условиях стационара с временным проживанием - 55 несовершеннолетних (2018 г. - 43 н/л);</w:t>
      </w:r>
    </w:p>
    <w:p>
      <w:pPr>
        <w:pStyle w:val="6"/>
        <w:shd w:val="clear" w:color="auto" w:fill="auto"/>
        <w:spacing w:lineRule="auto" w:line="240"/>
        <w:ind w:left="0" w:right="0" w:hanging="0"/>
        <w:jc w:val="both"/>
        <w:rPr/>
      </w:pPr>
      <w:r>
        <w:rPr>
          <w:color w:val="000000"/>
          <w:sz w:val="28"/>
          <w:szCs w:val="28"/>
          <w:lang w:eastAsia="ru-RU"/>
        </w:rPr>
        <w:t xml:space="preserve">  </w:t>
      </w:r>
      <w:r>
        <w:rPr>
          <w:color w:val="000000"/>
          <w:sz w:val="28"/>
          <w:szCs w:val="28"/>
          <w:lang w:eastAsia="ru-RU"/>
        </w:rPr>
        <w:t xml:space="preserve">- </w:t>
      </w:r>
      <w:r>
        <w:rPr>
          <w:rStyle w:val="11"/>
          <w:sz w:val="28"/>
          <w:szCs w:val="28"/>
        </w:rPr>
        <w:t xml:space="preserve">на отделении социального обслуживания детей-инвалидов в условиях дневного пребывания </w:t>
      </w:r>
      <w:r>
        <w:rPr>
          <w:rStyle w:val="3"/>
          <w:sz w:val="28"/>
          <w:szCs w:val="28"/>
        </w:rPr>
        <w:t xml:space="preserve">- </w:t>
      </w:r>
      <w:r>
        <w:rPr>
          <w:rStyle w:val="11"/>
          <w:sz w:val="28"/>
          <w:szCs w:val="28"/>
        </w:rPr>
        <w:t xml:space="preserve">75 детей-инвалидов (2018 г. </w:t>
      </w:r>
      <w:r>
        <w:rPr>
          <w:rStyle w:val="41"/>
          <w:sz w:val="28"/>
          <w:szCs w:val="28"/>
        </w:rPr>
        <w:t xml:space="preserve">- </w:t>
      </w:r>
      <w:r>
        <w:rPr>
          <w:rStyle w:val="11"/>
          <w:sz w:val="28"/>
          <w:szCs w:val="28"/>
        </w:rPr>
        <w:t>72 н/л);</w:t>
      </w:r>
    </w:p>
    <w:p>
      <w:pPr>
        <w:pStyle w:val="6"/>
        <w:shd w:val="clear" w:color="auto" w:fill="auto"/>
        <w:tabs>
          <w:tab w:val="left" w:pos="993" w:leader="none"/>
        </w:tabs>
        <w:spacing w:lineRule="auto" w:line="240"/>
        <w:ind w:left="0" w:right="0" w:hanging="0"/>
        <w:jc w:val="both"/>
        <w:rPr>
          <w:sz w:val="28"/>
          <w:szCs w:val="28"/>
        </w:rPr>
      </w:pPr>
      <w:r>
        <w:rPr>
          <w:color w:val="000000"/>
          <w:sz w:val="28"/>
          <w:szCs w:val="28"/>
          <w:lang w:eastAsia="ru-RU"/>
        </w:rPr>
        <w:t xml:space="preserve">  </w:t>
      </w:r>
      <w:r>
        <w:rPr>
          <w:color w:val="000000"/>
          <w:sz w:val="28"/>
          <w:szCs w:val="28"/>
          <w:lang w:eastAsia="ru-RU"/>
        </w:rPr>
        <w:t xml:space="preserve">- </w:t>
      </w:r>
      <w:r>
        <w:rPr>
          <w:rStyle w:val="11"/>
          <w:sz w:val="28"/>
          <w:szCs w:val="28"/>
        </w:rPr>
        <w:t xml:space="preserve">на отделении социального обслуживания детей-инвалидов на дому </w:t>
      </w:r>
      <w:r>
        <w:rPr>
          <w:rStyle w:val="41"/>
          <w:sz w:val="28"/>
          <w:szCs w:val="28"/>
        </w:rPr>
        <w:t xml:space="preserve">- </w:t>
      </w:r>
      <w:r>
        <w:rPr>
          <w:rStyle w:val="11"/>
          <w:sz w:val="28"/>
          <w:szCs w:val="28"/>
        </w:rPr>
        <w:t xml:space="preserve">9 детей- инвалидов (2018 г. </w:t>
      </w:r>
      <w:r>
        <w:rPr>
          <w:rStyle w:val="41"/>
          <w:sz w:val="28"/>
          <w:szCs w:val="28"/>
        </w:rPr>
        <w:t xml:space="preserve">- </w:t>
      </w:r>
      <w:r>
        <w:rPr>
          <w:rStyle w:val="11"/>
          <w:sz w:val="28"/>
          <w:szCs w:val="28"/>
        </w:rPr>
        <w:t>13 н/л);</w:t>
      </w:r>
    </w:p>
    <w:p>
      <w:pPr>
        <w:pStyle w:val="6"/>
        <w:widowControl w:val="false"/>
        <w:shd w:val="clear" w:color="auto" w:fill="auto"/>
        <w:tabs>
          <w:tab w:val="left" w:pos="993" w:leader="none"/>
        </w:tabs>
        <w:suppressAutoHyphens w:val="false"/>
        <w:bidi w:val="0"/>
        <w:spacing w:lineRule="auto" w:line="240"/>
        <w:ind w:left="0" w:right="0" w:firstLine="567"/>
        <w:jc w:val="both"/>
        <w:rPr/>
      </w:pPr>
      <w:r>
        <w:rPr>
          <w:rStyle w:val="11"/>
          <w:sz w:val="28"/>
          <w:szCs w:val="28"/>
        </w:rPr>
        <w:t xml:space="preserve"> </w:t>
      </w:r>
      <w:r>
        <w:rPr>
          <w:rStyle w:val="11"/>
          <w:sz w:val="28"/>
          <w:szCs w:val="28"/>
        </w:rPr>
        <w:t>Оказаны социальные услуги родителям несовершеннолетних детей в количестве 61 человека.</w:t>
      </w:r>
    </w:p>
    <w:p>
      <w:pPr>
        <w:pStyle w:val="6"/>
        <w:widowControl w:val="false"/>
        <w:shd w:val="clear" w:color="auto" w:fill="auto"/>
        <w:suppressAutoHyphens w:val="false"/>
        <w:bidi w:val="0"/>
        <w:spacing w:lineRule="auto" w:line="240"/>
        <w:ind w:left="0" w:right="0" w:firstLine="510"/>
        <w:jc w:val="both"/>
        <w:rPr/>
      </w:pPr>
      <w:r>
        <w:rPr>
          <w:rStyle w:val="11"/>
          <w:sz w:val="28"/>
          <w:szCs w:val="28"/>
        </w:rPr>
        <w:t xml:space="preserve"> </w:t>
      </w:r>
      <w:r>
        <w:rPr>
          <w:rStyle w:val="11"/>
          <w:sz w:val="28"/>
          <w:szCs w:val="28"/>
        </w:rPr>
        <w:t>За 2019 год несовершеннолетним и их родителям оказано 156 413 единиц социальных услуг.</w:t>
      </w:r>
    </w:p>
    <w:p>
      <w:pPr>
        <w:pStyle w:val="6"/>
        <w:widowControl w:val="false"/>
        <w:shd w:val="clear" w:color="auto" w:fill="auto"/>
        <w:suppressAutoHyphens w:val="false"/>
        <w:bidi w:val="0"/>
        <w:spacing w:lineRule="auto" w:line="240"/>
        <w:ind w:left="0" w:right="0" w:firstLine="567"/>
        <w:jc w:val="both"/>
        <w:rPr/>
      </w:pPr>
      <w:r>
        <w:rPr>
          <w:rStyle w:val="11"/>
          <w:sz w:val="28"/>
          <w:szCs w:val="28"/>
        </w:rPr>
        <w:t xml:space="preserve"> </w:t>
      </w:r>
      <w:r>
        <w:rPr>
          <w:rStyle w:val="11"/>
          <w:sz w:val="28"/>
          <w:szCs w:val="28"/>
        </w:rPr>
        <w:t>С 2017 года, в рамках реализации государственной программы «Социальная поддержка отдельных категорий граждан в Ленинградской области», в центре функционирует «Служба сиделок» для детей-инвалидов. Основной целью Службы является организация ухода, создание условий для пребывания детей-инвалидов в привычной среде жизнедеятельности, для обеспечения их развития, сохранения и укрепления здоровья, а также оказание помощи семьям, имеющим ребенка-инвалида.</w:t>
      </w:r>
    </w:p>
    <w:p>
      <w:pPr>
        <w:pStyle w:val="6"/>
        <w:widowControl w:val="false"/>
        <w:shd w:val="clear" w:color="auto" w:fill="auto"/>
        <w:suppressAutoHyphens w:val="false"/>
        <w:bidi w:val="0"/>
        <w:spacing w:lineRule="auto" w:line="240"/>
        <w:ind w:left="0" w:right="0" w:firstLine="567"/>
        <w:jc w:val="both"/>
        <w:rPr/>
      </w:pPr>
      <w:r>
        <w:rPr>
          <w:rStyle w:val="11"/>
          <w:sz w:val="28"/>
          <w:szCs w:val="28"/>
        </w:rPr>
        <w:t xml:space="preserve">За истекший период </w:t>
      </w:r>
      <w:r>
        <w:rPr>
          <w:color w:val="000000"/>
          <w:sz w:val="28"/>
          <w:szCs w:val="28"/>
          <w:lang w:eastAsia="ru-RU"/>
        </w:rPr>
        <w:t xml:space="preserve">1 </w:t>
      </w:r>
      <w:r>
        <w:rPr>
          <w:rStyle w:val="11"/>
          <w:sz w:val="28"/>
          <w:szCs w:val="28"/>
        </w:rPr>
        <w:t>ребенку оказана помощь в ежедневном уходе на дому. Предоставление услуг Службы сиделок для детей-инвалидов осуществляется бесплатно.</w:t>
      </w:r>
    </w:p>
    <w:p>
      <w:pPr>
        <w:pStyle w:val="6"/>
        <w:widowControl w:val="false"/>
        <w:shd w:val="clear" w:color="auto" w:fill="auto"/>
        <w:suppressAutoHyphens w:val="false"/>
        <w:bidi w:val="0"/>
        <w:spacing w:lineRule="auto" w:line="240"/>
        <w:ind w:left="0" w:right="0" w:firstLine="567"/>
        <w:jc w:val="both"/>
        <w:rPr/>
      </w:pPr>
      <w:r>
        <w:rPr>
          <w:rStyle w:val="11"/>
          <w:sz w:val="28"/>
          <w:szCs w:val="28"/>
        </w:rPr>
        <w:t>В 2019 году учреждение приняло участие в реализации инновационной технологии социального обслуживания «Ранняя помощь детям в возрасте от 0 до 3 лет». Целью реализации технологии является повышение качества взаимодействия и отношений ребенка и родителей, повышение компетентности родителей в вопросах развития и воспитания детей. Психолого-педагогические и медицинские услуги получили 23 ребенка в возрасте от 0 до 3 лет. Данный проект реализовывался в тесном сотрудничестве с ГБУЗ ЛО «Сланцевская МБ». В 2020 году технология успешно продолжит функционировать на базе нашего учреждения.</w:t>
      </w:r>
    </w:p>
    <w:p>
      <w:pPr>
        <w:pStyle w:val="6"/>
        <w:widowControl w:val="false"/>
        <w:shd w:val="clear" w:color="auto" w:fill="auto"/>
        <w:suppressAutoHyphens w:val="false"/>
        <w:bidi w:val="0"/>
        <w:spacing w:lineRule="auto" w:line="240"/>
        <w:ind w:left="0" w:right="0" w:firstLine="567"/>
        <w:jc w:val="both"/>
        <w:rPr/>
      </w:pPr>
      <w:r>
        <w:rPr>
          <w:rStyle w:val="11"/>
          <w:sz w:val="28"/>
          <w:szCs w:val="28"/>
        </w:rPr>
        <w:t xml:space="preserve"> </w:t>
      </w:r>
      <w:r>
        <w:rPr>
          <w:rStyle w:val="11"/>
          <w:sz w:val="28"/>
          <w:szCs w:val="28"/>
        </w:rPr>
        <w:t xml:space="preserve">В целях поддержки детей, находящихся в трудной жизненной ситуации учреждением привлекаются граждане и организации, оказывающие благотворительную помощь. В 2019 году за счет средств ОАО «Сланцевский цементный завод «Цесла», ООО «АльфаОйл», ИП Сухов Г.А. для учреждения приобретен уличный теннисный стол (передвижной), телевизор, организованы поездки и экскурсии (выездные культурно-массовые мероприятия), ежемесячная организация сладкого стола для детей. </w:t>
      </w:r>
    </w:p>
    <w:p>
      <w:pPr>
        <w:pStyle w:val="6"/>
        <w:widowControl w:val="false"/>
        <w:shd w:val="clear" w:color="auto" w:fill="auto"/>
        <w:suppressAutoHyphens w:val="false"/>
        <w:bidi w:val="0"/>
        <w:spacing w:lineRule="auto" w:line="240"/>
        <w:ind w:left="0" w:right="0" w:firstLine="510"/>
        <w:jc w:val="both"/>
        <w:rPr/>
      </w:pPr>
      <w:r>
        <w:rPr>
          <w:rStyle w:val="11"/>
          <w:sz w:val="28"/>
          <w:szCs w:val="28"/>
        </w:rPr>
        <w:t xml:space="preserve"> </w:t>
      </w:r>
      <w:r>
        <w:rPr>
          <w:rStyle w:val="11"/>
          <w:sz w:val="28"/>
          <w:szCs w:val="28"/>
        </w:rPr>
        <w:t xml:space="preserve">Кроме того, ОАО «Сланцевский цементный завод «Цесла» к Новогодним праздникам оказал благотворительную помощь в виде приобретения подарков в количестве 65 штук (для детей, посещающих центр в течение года) и организации театрализованного новогоднего представления. Также, новогодние подарки от депутата ЗакСа </w:t>
      </w:r>
      <w:r>
        <w:rPr>
          <w:rStyle w:val="11"/>
          <w:sz w:val="28"/>
          <w:szCs w:val="28"/>
          <w:lang w:val="en-US"/>
        </w:rPr>
        <w:t>JIO</w:t>
      </w:r>
      <w:r>
        <w:rPr>
          <w:rStyle w:val="11"/>
          <w:sz w:val="28"/>
          <w:szCs w:val="28"/>
        </w:rPr>
        <w:t xml:space="preserve"> О.П. Зевакова получили 50 детей, посещающих центр.</w:t>
      </w:r>
    </w:p>
    <w:p>
      <w:pPr>
        <w:pStyle w:val="6"/>
        <w:widowControl w:val="false"/>
        <w:shd w:val="clear" w:color="auto" w:fill="auto"/>
        <w:suppressAutoHyphens w:val="false"/>
        <w:bidi w:val="0"/>
        <w:spacing w:lineRule="auto" w:line="240"/>
        <w:ind w:left="0" w:right="0" w:firstLine="567"/>
        <w:jc w:val="both"/>
        <w:rPr/>
      </w:pPr>
      <w:r>
        <w:rPr>
          <w:rStyle w:val="11"/>
          <w:sz w:val="28"/>
          <w:szCs w:val="28"/>
        </w:rPr>
        <w:t xml:space="preserve">С октября 2018 года в учреждении развивается добровольческая деятельность - создай инновационный проект «Верные друзья». По результатам 2019 года проведено 37 мероприятий, в том числе с гражданами пожилого возраста, проживающими в Сланцевском ДИ (долгосрочная акция «Внуки по переписке»). Более 30 подростков в возрасте от </w:t>
      </w:r>
      <w:r>
        <w:rPr>
          <w:color w:val="000000"/>
          <w:sz w:val="28"/>
          <w:szCs w:val="28"/>
          <w:lang w:eastAsia="ru-RU"/>
        </w:rPr>
        <w:t>1</w:t>
      </w:r>
      <w:r>
        <w:rPr>
          <w:rStyle w:val="11"/>
          <w:sz w:val="28"/>
          <w:szCs w:val="28"/>
        </w:rPr>
        <w:t>0 до 15 лет были вовлечены в добровольческую деятельность и более 40 пожилых людей получили эмоциональную и моральную поддержку от младшего поколения.</w:t>
      </w:r>
    </w:p>
    <w:p>
      <w:pPr>
        <w:pStyle w:val="6"/>
        <w:widowControl w:val="false"/>
        <w:shd w:val="clear" w:color="auto" w:fill="auto"/>
        <w:suppressAutoHyphens w:val="false"/>
        <w:bidi w:val="0"/>
        <w:spacing w:lineRule="auto" w:line="240"/>
        <w:ind w:left="0" w:right="0" w:firstLine="510"/>
        <w:jc w:val="both"/>
        <w:rPr/>
      </w:pPr>
      <w:r>
        <w:rPr>
          <w:rStyle w:val="11"/>
          <w:sz w:val="28"/>
          <w:szCs w:val="28"/>
        </w:rPr>
        <w:t>Презентация проекта «Верные друзья» получила высокую оценку на Всероссийском Форуме социальных учреждений в мае 2019 г. в г. Сочи, где представители 15 субъектов РФ поделились опытом работы своих учреждений по реализации инновационных проектов. Развитие таких проектов в Ленинградской области на форуме представили директор ЛОГАУ «Бокситогорский ЦСОН» Е.П. Некрасова и директор ЛОГБУ «Сланцевский ЦСОН Мечта» А.О. Иванова.</w:t>
      </w:r>
    </w:p>
    <w:p>
      <w:pPr>
        <w:pStyle w:val="6"/>
        <w:widowControl w:val="false"/>
        <w:shd w:val="clear" w:color="auto" w:fill="auto"/>
        <w:suppressAutoHyphens w:val="false"/>
        <w:bidi w:val="0"/>
        <w:spacing w:lineRule="auto" w:line="240"/>
        <w:ind w:left="0" w:right="0" w:firstLine="567"/>
        <w:jc w:val="both"/>
        <w:rPr/>
      </w:pPr>
      <w:r>
        <w:rPr>
          <w:rStyle w:val="11"/>
          <w:sz w:val="28"/>
          <w:szCs w:val="28"/>
        </w:rPr>
        <w:t>Учреждение является победителем конкурса проектов Всероссийского Фонда поддержки детей, находящихся в трудной жизненной ситуации, в номинации по направлению «Организация развивающего ухода за детьми с тяжелыми множественными нарушениями развития, в том числе с использованием средств альтернативной дополнительной коммуникации». Итоги подведены осенью 2019 года, а с апреля 2020 года проект начнет реализовываться нашим учреждением.</w:t>
      </w:r>
    </w:p>
    <w:p>
      <w:pPr>
        <w:pStyle w:val="6"/>
        <w:widowControl w:val="false"/>
        <w:shd w:val="clear" w:color="auto" w:fill="auto"/>
        <w:suppressAutoHyphens w:val="false"/>
        <w:bidi w:val="0"/>
        <w:spacing w:lineRule="auto" w:line="240"/>
        <w:ind w:left="0" w:right="0" w:firstLine="567"/>
        <w:jc w:val="both"/>
        <w:rPr/>
      </w:pPr>
      <w:r>
        <w:rPr>
          <w:rStyle w:val="11"/>
          <w:sz w:val="28"/>
          <w:szCs w:val="28"/>
        </w:rPr>
        <w:t xml:space="preserve"> </w:t>
      </w:r>
      <w:r>
        <w:rPr>
          <w:rStyle w:val="11"/>
          <w:sz w:val="28"/>
          <w:szCs w:val="28"/>
        </w:rPr>
        <w:t>Летом 2019 года получен и успешно реализован грант от Комитета по труду и занятости ЛО на временное трудоустройство подростков в возрасте от 14 лет. В 2020 году учреждение также принимает участие в конкурсе на реализацию гранта. Планируется трудоустроить в летний период 19 подростков.</w:t>
      </w:r>
    </w:p>
    <w:p>
      <w:pPr>
        <w:pStyle w:val="6"/>
        <w:widowControl w:val="false"/>
        <w:shd w:val="clear" w:color="auto" w:fill="auto"/>
        <w:suppressAutoHyphens w:val="false"/>
        <w:bidi w:val="0"/>
        <w:spacing w:lineRule="auto" w:line="240"/>
        <w:ind w:left="0" w:right="0" w:firstLine="510"/>
        <w:jc w:val="both"/>
        <w:rPr/>
      </w:pPr>
      <w:r>
        <w:rPr>
          <w:rStyle w:val="11"/>
          <w:sz w:val="28"/>
          <w:szCs w:val="28"/>
        </w:rPr>
        <w:t xml:space="preserve">В целях интеграции и социализации несовершеннолетних центр осуществляет сетевое взаимодействие </w:t>
      </w:r>
      <w:r>
        <w:rPr>
          <w:color w:val="000000"/>
          <w:sz w:val="28"/>
          <w:szCs w:val="28"/>
          <w:lang w:eastAsia="ru-RU"/>
        </w:rPr>
        <w:t xml:space="preserve">с </w:t>
      </w:r>
      <w:r>
        <w:rPr>
          <w:rStyle w:val="11"/>
          <w:sz w:val="28"/>
          <w:szCs w:val="28"/>
        </w:rPr>
        <w:t xml:space="preserve">различными организациями Сланцевского района: городская библиотека (совместные занятия), Дом творчества (праздники), ГДК (проведение мероприятий), Мини-ферма (ипотерапия, зоотерапия), Художественная и Музыкальная школы (экскурсии, концерты), Центр информационных технологий (по компьютерной грамотности), ПКиО (посещение аттракционов и театра), Благочинный Гдовского благочиния отец Сергий Олисов, художник Будько В.И. (мастер </w:t>
      </w:r>
      <w:r>
        <w:rPr>
          <w:color w:val="000000"/>
          <w:sz w:val="28"/>
          <w:szCs w:val="28"/>
          <w:lang w:eastAsia="ru-RU"/>
        </w:rPr>
        <w:t xml:space="preserve">- </w:t>
      </w:r>
      <w:r>
        <w:rPr>
          <w:rStyle w:val="11"/>
          <w:sz w:val="28"/>
          <w:szCs w:val="28"/>
        </w:rPr>
        <w:t>класс), поэты Брюзгина Е.А., Чистоградова Е.А. (день поэта).</w:t>
      </w:r>
    </w:p>
    <w:p>
      <w:pPr>
        <w:pStyle w:val="6"/>
        <w:widowControl w:val="false"/>
        <w:shd w:val="clear" w:color="auto" w:fill="auto"/>
        <w:suppressAutoHyphens w:val="false"/>
        <w:bidi w:val="0"/>
        <w:spacing w:lineRule="auto" w:line="240"/>
        <w:ind w:left="0" w:right="0" w:firstLine="510"/>
        <w:jc w:val="both"/>
        <w:rPr/>
      </w:pPr>
      <w:r>
        <w:rPr>
          <w:rStyle w:val="11"/>
          <w:sz w:val="28"/>
          <w:szCs w:val="28"/>
        </w:rPr>
        <w:t xml:space="preserve"> </w:t>
      </w:r>
      <w:r>
        <w:rPr>
          <w:rStyle w:val="11"/>
          <w:sz w:val="28"/>
          <w:szCs w:val="28"/>
        </w:rPr>
        <w:t>В течение всего года проводятся различные мероприятия, направленные на формирование ЗОЖ. В 2019 году воспитанники центра приняли участие в сдаче норм ГТО по прыжкам в длину, отжиманию, метанию, челночному бегу и других видах спортивных нормативов.</w:t>
      </w:r>
    </w:p>
    <w:p>
      <w:pPr>
        <w:pStyle w:val="6"/>
        <w:widowControl w:val="false"/>
        <w:shd w:val="clear" w:color="auto" w:fill="auto"/>
        <w:suppressAutoHyphens w:val="false"/>
        <w:bidi w:val="0"/>
        <w:spacing w:lineRule="auto" w:line="240"/>
        <w:ind w:left="0" w:right="0" w:firstLine="567"/>
        <w:jc w:val="both"/>
        <w:rPr/>
      </w:pPr>
      <w:r>
        <w:rPr>
          <w:rStyle w:val="11"/>
          <w:sz w:val="28"/>
          <w:szCs w:val="28"/>
        </w:rPr>
        <w:t xml:space="preserve">В рамках профориентации воспитанников центра организованы посещения пожарной части нашего района и пиццерии </w:t>
      </w:r>
      <w:r>
        <w:rPr>
          <w:rStyle w:val="11"/>
          <w:sz w:val="28"/>
          <w:szCs w:val="28"/>
          <w:lang w:val="en-US"/>
        </w:rPr>
        <w:t>Papa</w:t>
      </w:r>
      <w:r>
        <w:rPr>
          <w:rStyle w:val="11"/>
          <w:sz w:val="28"/>
          <w:szCs w:val="28"/>
        </w:rPr>
        <w:t xml:space="preserve"> </w:t>
      </w:r>
      <w:r>
        <w:rPr>
          <w:rStyle w:val="11"/>
          <w:sz w:val="28"/>
          <w:szCs w:val="28"/>
          <w:lang w:val="en-US"/>
        </w:rPr>
        <w:t>Coni</w:t>
      </w:r>
      <w:r>
        <w:rPr>
          <w:rStyle w:val="11"/>
          <w:sz w:val="28"/>
          <w:szCs w:val="28"/>
        </w:rPr>
        <w:t>, где были проведены мастер- классы по использованию техники и обмундирования пожарного, а также по изготовлению правильной пиццы поварами. Кроме того, с целью профориентации учащихся 9-11 классов, в центре побывали ученики школы № 6 и школы д. Старополье. Надеемся, кто-то из школьников в дальнейшем свяжет свою трудовую жизнь с социальной сферой.</w:t>
      </w:r>
    </w:p>
    <w:p>
      <w:pPr>
        <w:pStyle w:val="6"/>
        <w:widowControl w:val="false"/>
        <w:shd w:val="clear" w:color="auto" w:fill="auto"/>
        <w:suppressAutoHyphens w:val="false"/>
        <w:bidi w:val="0"/>
        <w:spacing w:lineRule="auto" w:line="240"/>
        <w:ind w:left="0" w:right="0" w:firstLine="510"/>
        <w:jc w:val="both"/>
        <w:rPr/>
      </w:pPr>
      <w:r>
        <w:rPr>
          <w:rStyle w:val="11"/>
          <w:sz w:val="28"/>
          <w:szCs w:val="28"/>
        </w:rPr>
        <w:t>Учреждением проводится работа с несовершеннолетними по правовому просвещению, профилактике безопасности и правонарушений.</w:t>
      </w:r>
    </w:p>
    <w:p>
      <w:pPr>
        <w:pStyle w:val="6"/>
        <w:widowControl w:val="false"/>
        <w:shd w:val="clear" w:color="auto" w:fill="auto"/>
        <w:suppressAutoHyphens w:val="false"/>
        <w:bidi w:val="0"/>
        <w:spacing w:lineRule="auto" w:line="240"/>
        <w:ind w:left="0" w:right="0" w:firstLine="567"/>
        <w:jc w:val="both"/>
        <w:rPr/>
      </w:pPr>
      <w:r>
        <w:rPr>
          <w:rStyle w:val="11"/>
          <w:sz w:val="28"/>
          <w:szCs w:val="28"/>
        </w:rPr>
        <w:t>За 2019 год, согласно совместному плану работы, организовано 10 встреч несовершеннолетних с инспекторами ПДН ОМВД по профилактике правонарушений среди подростков. Приняло участие 140 несовершеннолетних.</w:t>
      </w:r>
    </w:p>
    <w:p>
      <w:pPr>
        <w:pStyle w:val="6"/>
        <w:widowControl w:val="false"/>
        <w:shd w:val="clear" w:color="auto" w:fill="auto"/>
        <w:suppressAutoHyphens w:val="false"/>
        <w:bidi w:val="0"/>
        <w:spacing w:lineRule="auto" w:line="240"/>
        <w:ind w:left="0" w:right="0" w:firstLine="510"/>
        <w:jc w:val="both"/>
        <w:rPr/>
      </w:pPr>
      <w:r>
        <w:rPr>
          <w:rStyle w:val="11"/>
          <w:sz w:val="28"/>
          <w:szCs w:val="28"/>
        </w:rPr>
        <w:t>Ежемесячно проводятся встречи с инспектором ГИБДД ОМВД по профилактике безопасности дорожного движения. Приняло участие 166 несовершеннолетних.</w:t>
      </w:r>
    </w:p>
    <w:p>
      <w:pPr>
        <w:pStyle w:val="6"/>
        <w:widowControl w:val="false"/>
        <w:shd w:val="clear" w:color="auto" w:fill="auto"/>
        <w:suppressAutoHyphens w:val="false"/>
        <w:bidi w:val="0"/>
        <w:spacing w:lineRule="auto" w:line="240"/>
        <w:ind w:left="0" w:right="0" w:firstLine="510"/>
        <w:jc w:val="both"/>
        <w:rPr/>
      </w:pPr>
      <w:r>
        <w:rPr>
          <w:rStyle w:val="11"/>
          <w:sz w:val="28"/>
          <w:szCs w:val="28"/>
        </w:rPr>
        <w:t>Ежемесячно, согласно совместному плану работы, проводились встречи с врачом-наркологом Сланцевского наркологического кабинета по профилактике наркозависимости, алкоголизма и табакокурения. Приняло участие 116 несовершеннолетних.</w:t>
      </w:r>
    </w:p>
    <w:p>
      <w:pPr>
        <w:pStyle w:val="6"/>
        <w:widowControl w:val="false"/>
        <w:shd w:val="clear" w:color="auto" w:fill="auto"/>
        <w:suppressAutoHyphens w:val="false"/>
        <w:bidi w:val="0"/>
        <w:spacing w:lineRule="auto" w:line="240"/>
        <w:ind w:left="0" w:right="0" w:firstLine="510"/>
        <w:jc w:val="both"/>
        <w:rPr/>
      </w:pPr>
      <w:r>
        <w:rPr>
          <w:rStyle w:val="11"/>
          <w:sz w:val="28"/>
          <w:szCs w:val="28"/>
        </w:rPr>
        <w:t xml:space="preserve"> </w:t>
      </w:r>
      <w:r>
        <w:rPr>
          <w:rStyle w:val="11"/>
          <w:sz w:val="28"/>
          <w:szCs w:val="28"/>
        </w:rPr>
        <w:t>В 2020 году в учреждение планируется проведение ряда ремонтных работ но улучшению качества пребывания и проживания обслуживаемых.</w:t>
      </w:r>
    </w:p>
    <w:p>
      <w:pPr>
        <w:pStyle w:val="5"/>
        <w:shd w:val="clear" w:color="auto" w:fill="auto"/>
        <w:spacing w:lineRule="auto" w:line="240" w:before="0" w:after="0"/>
        <w:ind w:left="0" w:right="0" w:hanging="0"/>
        <w:jc w:val="center"/>
        <w:rPr>
          <w:rStyle w:val="11"/>
          <w:b/>
          <w:b/>
          <w:sz w:val="28"/>
          <w:szCs w:val="28"/>
        </w:rPr>
      </w:pPr>
      <w:r>
        <w:rPr>
          <w:rStyle w:val="11"/>
          <w:sz w:val="28"/>
          <w:szCs w:val="28"/>
        </w:rPr>
        <w:t>Продолжится работа по благоустройству территорий вокруг зданий.</w:t>
      </w:r>
    </w:p>
    <w:p>
      <w:pPr>
        <w:pStyle w:val="5"/>
        <w:shd w:val="clear" w:color="auto" w:fill="auto"/>
        <w:spacing w:lineRule="auto" w:line="240" w:before="0" w:after="0"/>
        <w:ind w:left="0" w:right="0" w:hanging="0"/>
        <w:jc w:val="center"/>
        <w:rPr/>
      </w:pPr>
      <w:r>
        <w:rPr>
          <w:rStyle w:val="11"/>
          <w:b/>
          <w:sz w:val="28"/>
          <w:szCs w:val="28"/>
        </w:rPr>
        <w:t>ЛОГБУ «Сланцевский ДИ»</w:t>
      </w:r>
    </w:p>
    <w:p>
      <w:pPr>
        <w:pStyle w:val="5"/>
        <w:widowControl w:val="false"/>
        <w:shd w:val="clear" w:color="auto" w:fill="auto"/>
        <w:suppressAutoHyphens w:val="false"/>
        <w:bidi w:val="0"/>
        <w:spacing w:lineRule="auto" w:line="240" w:before="0" w:after="0"/>
        <w:ind w:left="0" w:right="0" w:firstLine="567"/>
        <w:jc w:val="both"/>
        <w:rPr/>
      </w:pPr>
      <w:r>
        <w:rPr>
          <w:rStyle w:val="11"/>
          <w:sz w:val="28"/>
          <w:szCs w:val="28"/>
        </w:rPr>
        <w:t xml:space="preserve">Мощность коечного фонда учреждения составляет 159 коек. </w:t>
      </w:r>
    </w:p>
    <w:p>
      <w:pPr>
        <w:pStyle w:val="5"/>
        <w:shd w:val="clear" w:color="auto" w:fill="auto"/>
        <w:spacing w:lineRule="auto" w:line="240" w:before="0" w:after="0"/>
        <w:ind w:left="0" w:right="0" w:hanging="0"/>
        <w:jc w:val="both"/>
        <w:rPr>
          <w:sz w:val="28"/>
          <w:szCs w:val="28"/>
        </w:rPr>
      </w:pPr>
      <w:r>
        <w:rPr>
          <w:rStyle w:val="11"/>
          <w:sz w:val="28"/>
          <w:szCs w:val="28"/>
        </w:rPr>
        <w:t xml:space="preserve">Средняя заработная плата по учреждению за 2019 год составила - 42 437,03 рублей (врачи - 83 000,00 рублей, СМИ - 41 500,00; ММП </w:t>
      </w:r>
      <w:r>
        <w:rPr>
          <w:rStyle w:val="3"/>
          <w:sz w:val="28"/>
          <w:szCs w:val="28"/>
        </w:rPr>
        <w:t xml:space="preserve">- </w:t>
      </w:r>
      <w:r>
        <w:rPr>
          <w:rStyle w:val="11"/>
          <w:sz w:val="28"/>
          <w:szCs w:val="28"/>
        </w:rPr>
        <w:t>41 500,00; соц.работник - 41 508,3 рублей).</w:t>
      </w:r>
    </w:p>
    <w:p>
      <w:pPr>
        <w:pStyle w:val="5"/>
        <w:widowControl w:val="false"/>
        <w:shd w:val="clear" w:color="auto" w:fill="auto"/>
        <w:suppressAutoHyphens w:val="false"/>
        <w:bidi w:val="0"/>
        <w:spacing w:lineRule="auto" w:line="240" w:before="0" w:after="0"/>
        <w:ind w:left="0" w:right="0" w:firstLine="567"/>
        <w:jc w:val="both"/>
        <w:rPr/>
      </w:pPr>
      <w:r>
        <w:rPr>
          <w:rStyle w:val="11"/>
          <w:sz w:val="28"/>
          <w:szCs w:val="28"/>
        </w:rPr>
        <w:t xml:space="preserve">В 2019 году учреждению была выделена субсидия областного бюджета в размере 35 983 273, 00 рубля на проведение ремонта здания отделения милосердия ЛОГБУ «Сланцевский ДИ» и выполнение работ по благоустройству территории учреждения (на сегодняшний день ремонтные работы находятся в стадии завершения); на укрепление материально-технической базы Комитетом социальной защиты населения Ленинградской области выделены средства в размере 12 003 221,14 рублей. Приобретено реабилитационное, медицинское оборудование, произведено </w:t>
      </w:r>
      <w:r>
        <w:rPr>
          <w:rStyle w:val="41"/>
          <w:sz w:val="28"/>
          <w:szCs w:val="28"/>
        </w:rPr>
        <w:t xml:space="preserve">оснащение прачечной, </w:t>
      </w:r>
      <w:r>
        <w:rPr>
          <w:rStyle w:val="11"/>
          <w:sz w:val="28"/>
          <w:szCs w:val="28"/>
        </w:rPr>
        <w:t xml:space="preserve">приобретена новая </w:t>
      </w:r>
      <w:r>
        <w:rPr>
          <w:rStyle w:val="41"/>
          <w:sz w:val="28"/>
          <w:szCs w:val="28"/>
        </w:rPr>
        <w:t xml:space="preserve">мебель для </w:t>
      </w:r>
      <w:r>
        <w:rPr>
          <w:rStyle w:val="11"/>
          <w:sz w:val="28"/>
          <w:szCs w:val="28"/>
        </w:rPr>
        <w:t>комнат проживающих.</w:t>
      </w:r>
    </w:p>
    <w:p>
      <w:pPr>
        <w:pStyle w:val="5"/>
        <w:widowControl w:val="false"/>
        <w:shd w:val="clear" w:color="auto" w:fill="auto"/>
        <w:suppressAutoHyphens w:val="false"/>
        <w:bidi w:val="0"/>
        <w:spacing w:lineRule="auto" w:line="240" w:before="0" w:after="0"/>
        <w:ind w:left="0" w:right="0" w:firstLine="567"/>
        <w:jc w:val="left"/>
        <w:rPr/>
      </w:pPr>
      <w:r>
        <w:rPr>
          <w:rStyle w:val="41"/>
          <w:sz w:val="28"/>
          <w:szCs w:val="28"/>
        </w:rPr>
        <w:t>Задачи на 2020 год:</w:t>
      </w:r>
    </w:p>
    <w:p>
      <w:pPr>
        <w:pStyle w:val="5"/>
        <w:numPr>
          <w:ilvl w:val="0"/>
          <w:numId w:val="6"/>
        </w:numPr>
        <w:shd w:val="clear" w:color="auto" w:fill="auto"/>
        <w:tabs>
          <w:tab w:val="left" w:pos="993" w:leader="none"/>
        </w:tabs>
        <w:spacing w:lineRule="auto" w:line="240" w:before="0" w:after="0"/>
        <w:ind w:left="0" w:right="0" w:hanging="0"/>
        <w:jc w:val="both"/>
        <w:rPr>
          <w:sz w:val="28"/>
          <w:szCs w:val="28"/>
        </w:rPr>
      </w:pPr>
      <w:r>
        <w:rPr>
          <w:rStyle w:val="41"/>
          <w:sz w:val="28"/>
          <w:szCs w:val="28"/>
        </w:rPr>
        <w:t xml:space="preserve">Индексация </w:t>
      </w:r>
      <w:r>
        <w:rPr>
          <w:rStyle w:val="11"/>
          <w:sz w:val="28"/>
          <w:szCs w:val="28"/>
        </w:rPr>
        <w:t xml:space="preserve">заработной платы сотрудников учреждения, </w:t>
      </w:r>
      <w:r>
        <w:rPr>
          <w:rStyle w:val="41"/>
          <w:sz w:val="28"/>
          <w:szCs w:val="28"/>
        </w:rPr>
        <w:t xml:space="preserve">соблюдение соотношения </w:t>
      </w:r>
      <w:r>
        <w:rPr>
          <w:rStyle w:val="11"/>
          <w:sz w:val="28"/>
          <w:szCs w:val="28"/>
        </w:rPr>
        <w:t xml:space="preserve">средней заработной платы по Ленинградской </w:t>
      </w:r>
      <w:r>
        <w:rPr>
          <w:rStyle w:val="41"/>
          <w:sz w:val="28"/>
          <w:szCs w:val="28"/>
        </w:rPr>
        <w:t xml:space="preserve">области к средней заработной </w:t>
      </w:r>
      <w:r>
        <w:rPr>
          <w:rStyle w:val="11"/>
          <w:sz w:val="28"/>
          <w:szCs w:val="28"/>
        </w:rPr>
        <w:t>плате отдельных категорий медицинских работников;</w:t>
      </w:r>
    </w:p>
    <w:p>
      <w:pPr>
        <w:pStyle w:val="5"/>
        <w:numPr>
          <w:ilvl w:val="0"/>
          <w:numId w:val="6"/>
        </w:numPr>
        <w:shd w:val="clear" w:color="auto" w:fill="auto"/>
        <w:tabs>
          <w:tab w:val="left" w:pos="993" w:leader="none"/>
        </w:tabs>
        <w:spacing w:lineRule="auto" w:line="240" w:before="0" w:after="0"/>
        <w:ind w:left="0" w:right="0" w:hanging="0"/>
        <w:jc w:val="both"/>
        <w:rPr>
          <w:sz w:val="28"/>
          <w:szCs w:val="28"/>
        </w:rPr>
      </w:pPr>
      <w:r>
        <w:rPr>
          <w:rStyle w:val="41"/>
          <w:sz w:val="28"/>
          <w:szCs w:val="28"/>
        </w:rPr>
        <w:t xml:space="preserve">Переименование </w:t>
      </w:r>
      <w:r>
        <w:rPr>
          <w:rStyle w:val="11"/>
          <w:sz w:val="28"/>
          <w:szCs w:val="28"/>
        </w:rPr>
        <w:t xml:space="preserve">учреждения (ЛОГБУ «Сланцевский дом-интернат для ветеранов </w:t>
      </w:r>
      <w:r>
        <w:rPr>
          <w:rStyle w:val="41"/>
          <w:sz w:val="28"/>
          <w:szCs w:val="28"/>
        </w:rPr>
        <w:t xml:space="preserve">войны </w:t>
      </w:r>
      <w:r>
        <w:rPr>
          <w:rStyle w:val="11"/>
          <w:sz w:val="28"/>
          <w:szCs w:val="28"/>
        </w:rPr>
        <w:t>и труда»);</w:t>
      </w:r>
    </w:p>
    <w:p>
      <w:pPr>
        <w:pStyle w:val="5"/>
        <w:numPr>
          <w:ilvl w:val="0"/>
          <w:numId w:val="6"/>
        </w:numPr>
        <w:shd w:val="clear" w:color="auto" w:fill="auto"/>
        <w:tabs>
          <w:tab w:val="left" w:pos="993" w:leader="none"/>
        </w:tabs>
        <w:spacing w:lineRule="auto" w:line="240" w:before="0" w:after="0"/>
        <w:ind w:left="0" w:right="0" w:hanging="0"/>
        <w:jc w:val="both"/>
        <w:rPr>
          <w:sz w:val="28"/>
          <w:szCs w:val="28"/>
        </w:rPr>
      </w:pPr>
      <w:r>
        <w:rPr>
          <w:rStyle w:val="41"/>
          <w:sz w:val="28"/>
          <w:szCs w:val="28"/>
        </w:rPr>
        <w:t xml:space="preserve">Подготовка и </w:t>
      </w:r>
      <w:r>
        <w:rPr>
          <w:rStyle w:val="11"/>
          <w:sz w:val="28"/>
          <w:szCs w:val="28"/>
        </w:rPr>
        <w:t>проведение мероприятий, посвященных 75-летию победы в Великой отечественной войне;</w:t>
      </w:r>
    </w:p>
    <w:p>
      <w:pPr>
        <w:pStyle w:val="5"/>
        <w:numPr>
          <w:ilvl w:val="0"/>
          <w:numId w:val="6"/>
        </w:numPr>
        <w:shd w:val="clear" w:color="auto" w:fill="auto"/>
        <w:tabs>
          <w:tab w:val="left" w:pos="993" w:leader="none"/>
        </w:tabs>
        <w:spacing w:lineRule="auto" w:line="240" w:before="0" w:after="0"/>
        <w:ind w:left="0" w:right="0" w:hanging="0"/>
        <w:jc w:val="both"/>
        <w:rPr>
          <w:sz w:val="28"/>
          <w:szCs w:val="28"/>
        </w:rPr>
      </w:pPr>
      <w:r>
        <w:rPr>
          <w:rStyle w:val="11"/>
          <w:sz w:val="28"/>
          <w:szCs w:val="28"/>
        </w:rPr>
        <w:t>Укрепление материально-технической базы учреждения;</w:t>
      </w:r>
    </w:p>
    <w:p>
      <w:pPr>
        <w:pStyle w:val="5"/>
        <w:numPr>
          <w:ilvl w:val="0"/>
          <w:numId w:val="6"/>
        </w:numPr>
        <w:shd w:val="clear" w:color="auto" w:fill="auto"/>
        <w:tabs>
          <w:tab w:val="left" w:pos="993" w:leader="none"/>
        </w:tabs>
        <w:spacing w:lineRule="auto" w:line="240" w:before="0" w:after="0"/>
        <w:ind w:left="0" w:right="0" w:hanging="0"/>
        <w:jc w:val="both"/>
        <w:rPr>
          <w:sz w:val="28"/>
          <w:szCs w:val="28"/>
        </w:rPr>
      </w:pPr>
      <w:r>
        <w:rPr>
          <w:rStyle w:val="11"/>
          <w:sz w:val="28"/>
          <w:szCs w:val="28"/>
        </w:rPr>
        <w:t>Благоустройство территории учреждения.</w:t>
      </w:r>
    </w:p>
    <w:p>
      <w:pPr>
        <w:pStyle w:val="Normal"/>
        <w:spacing w:lineRule="auto" w:line="240"/>
        <w:ind w:left="0" w:right="0" w:hanging="0"/>
        <w:jc w:val="center"/>
        <w:rPr/>
      </w:pPr>
      <w:r>
        <w:rPr>
          <w:rFonts w:cs="Times New Roman"/>
          <w:b/>
          <w:sz w:val="28"/>
          <w:szCs w:val="28"/>
        </w:rPr>
        <w:t>Задачи на 2020 год</w:t>
      </w:r>
    </w:p>
    <w:p>
      <w:pPr>
        <w:pStyle w:val="Style18"/>
        <w:widowControl w:val="false"/>
        <w:suppressAutoHyphens w:val="true"/>
        <w:bidi w:val="0"/>
        <w:spacing w:lineRule="auto" w:line="240" w:before="0" w:after="0"/>
        <w:ind w:left="0" w:right="0" w:firstLine="567"/>
        <w:jc w:val="both"/>
        <w:rPr/>
      </w:pPr>
      <w:r>
        <w:rPr>
          <w:bCs/>
          <w:sz w:val="28"/>
        </w:rPr>
        <w:t>Все это и многое другое было сделано в прошлом году. В 2020 году предстоит продолжить работу по решению многих социально значимых вопросов.</w:t>
      </w:r>
    </w:p>
    <w:p>
      <w:pPr>
        <w:pStyle w:val="Normal"/>
        <w:widowControl w:val="false"/>
        <w:suppressAutoHyphens w:val="true"/>
        <w:bidi w:val="0"/>
        <w:spacing w:lineRule="auto" w:line="240"/>
        <w:ind w:left="0" w:right="0" w:firstLine="510"/>
        <w:jc w:val="both"/>
        <w:rPr/>
      </w:pPr>
      <w:r>
        <w:rPr>
          <w:sz w:val="28"/>
          <w:szCs w:val="28"/>
        </w:rPr>
        <w:t xml:space="preserve">1. Запланирован ввод в эксплуатацию нового Овсищенского ФАПа, капитальный ремонт стоматологической поликлиники, ремонт входной группы детской поликлиники, цифровизация структурных подразделений, решение кадрового вопроса.  </w:t>
      </w:r>
    </w:p>
    <w:p>
      <w:pPr>
        <w:pStyle w:val="PlainText"/>
        <w:widowControl/>
        <w:suppressAutoHyphens w:val="false"/>
        <w:bidi w:val="0"/>
        <w:spacing w:lineRule="auto" w:line="240"/>
        <w:ind w:left="0" w:right="0" w:firstLine="510"/>
        <w:jc w:val="both"/>
        <w:rPr/>
      </w:pPr>
      <w:r>
        <w:rPr>
          <w:rFonts w:ascii="Times New Roman" w:hAnsi="Times New Roman"/>
          <w:sz w:val="28"/>
          <w:szCs w:val="28"/>
        </w:rPr>
        <w:t>2. Планируется проведение работ по ремонту асфальтобетонного покрытия дорог общего пользования местного значения: ул.Право-Набережная, проезд от ул.1 Мая до Кингисеппского шоссе, объездная дорога от ул.Гагарина до ул.Ленина ( участок дороги от ул.Гагарина до магазина «ВИМОС»), ул.Поселковая (участок дороги от Сланцевского шоссе до ул.Док), ул.ДОК (участок дороги от ул.Поселковая до ул.Красная), объездная дорога от пр.Молодежный до ул.Гагарина ( участок дороги  от ул.Полевая до ул Гагарина).</w:t>
      </w:r>
    </w:p>
    <w:p>
      <w:pPr>
        <w:pStyle w:val="PlainText"/>
        <w:widowControl/>
        <w:suppressAutoHyphens w:val="false"/>
        <w:bidi w:val="0"/>
        <w:spacing w:lineRule="auto" w:line="240"/>
        <w:ind w:left="0" w:right="0" w:firstLine="567"/>
        <w:jc w:val="both"/>
        <w:rPr/>
      </w:pPr>
      <w:r>
        <w:rPr>
          <w:rFonts w:ascii="Times New Roman" w:hAnsi="Times New Roman"/>
          <w:sz w:val="28"/>
          <w:szCs w:val="28"/>
        </w:rPr>
        <w:t xml:space="preserve">3. Планируется </w:t>
      </w:r>
      <w:r>
        <w:rPr>
          <w:rFonts w:eastAsia="SimSun" w:ascii="Times New Roman" w:hAnsi="Times New Roman"/>
          <w:kern w:val="2"/>
          <w:sz w:val="28"/>
          <w:szCs w:val="28"/>
          <w:lang w:eastAsia="zh-CN" w:bidi="hi-IN"/>
        </w:rPr>
        <w:t xml:space="preserve">продолжение </w:t>
      </w:r>
      <w:r>
        <w:rPr>
          <w:rFonts w:ascii="Times New Roman" w:hAnsi="Times New Roman"/>
          <w:sz w:val="28"/>
          <w:szCs w:val="28"/>
        </w:rPr>
        <w:t>реализация программы «Формирование комфортной городской среды», в рамках которой будет выполнено благоустройство дворовых территорий в г.Сланцы:</w:t>
      </w:r>
    </w:p>
    <w:p>
      <w:pPr>
        <w:pStyle w:val="PlainText"/>
        <w:spacing w:lineRule="auto" w:line="240"/>
        <w:ind w:left="0" w:right="0" w:hanging="0"/>
        <w:jc w:val="both"/>
        <w:rPr>
          <w:rFonts w:ascii="Times New Roman" w:hAnsi="Times New Roman"/>
          <w:sz w:val="28"/>
          <w:szCs w:val="28"/>
        </w:rPr>
      </w:pPr>
      <w:r>
        <w:rPr>
          <w:rFonts w:ascii="Times New Roman" w:hAnsi="Times New Roman"/>
          <w:sz w:val="28"/>
          <w:szCs w:val="28"/>
        </w:rPr>
        <w:t>- дворовая территория, примыкающая к домам по ул.Ленина, д.11, ул.Кирова , д.24;</w:t>
      </w:r>
    </w:p>
    <w:p>
      <w:pPr>
        <w:pStyle w:val="PlainText"/>
        <w:spacing w:lineRule="auto" w:line="240"/>
        <w:ind w:left="0" w:right="0" w:hanging="0"/>
        <w:jc w:val="both"/>
        <w:rPr>
          <w:rFonts w:ascii="Times New Roman" w:hAnsi="Times New Roman"/>
          <w:sz w:val="28"/>
          <w:szCs w:val="28"/>
        </w:rPr>
      </w:pPr>
      <w:r>
        <w:rPr>
          <w:rFonts w:ascii="Times New Roman" w:hAnsi="Times New Roman"/>
          <w:sz w:val="28"/>
          <w:szCs w:val="28"/>
        </w:rPr>
        <w:t>- дворовая территория, примыкающая к домам по ул.Дзержинского, д.23, ул.Маяковского, д.2.</w:t>
      </w:r>
    </w:p>
    <w:p>
      <w:pPr>
        <w:pStyle w:val="PlainText"/>
        <w:spacing w:lineRule="auto" w:line="240"/>
        <w:ind w:left="0" w:right="0" w:hanging="0"/>
        <w:jc w:val="both"/>
        <w:rPr>
          <w:rFonts w:ascii="Times New Roman" w:hAnsi="Times New Roman"/>
          <w:sz w:val="28"/>
          <w:szCs w:val="28"/>
        </w:rPr>
      </w:pPr>
      <w:r>
        <w:rPr>
          <w:rFonts w:ascii="Times New Roman" w:hAnsi="Times New Roman"/>
          <w:sz w:val="28"/>
          <w:szCs w:val="28"/>
        </w:rPr>
        <w:t>В рамках благоустройства общественных территорий :</w:t>
      </w:r>
    </w:p>
    <w:p>
      <w:pPr>
        <w:pStyle w:val="PlainText"/>
        <w:spacing w:lineRule="auto" w:line="240"/>
        <w:ind w:left="0" w:right="0" w:hanging="0"/>
        <w:jc w:val="both"/>
        <w:rPr>
          <w:rFonts w:ascii="Times New Roman" w:hAnsi="Times New Roman"/>
          <w:sz w:val="28"/>
          <w:szCs w:val="28"/>
        </w:rPr>
      </w:pPr>
      <w:r>
        <w:rPr>
          <w:rFonts w:ascii="Times New Roman" w:hAnsi="Times New Roman"/>
          <w:sz w:val="28"/>
          <w:szCs w:val="28"/>
        </w:rPr>
        <w:t>- общественная территория  между домами по ул. Грибоедова, д.14,16,18;</w:t>
      </w:r>
    </w:p>
    <w:p>
      <w:pPr>
        <w:pStyle w:val="PlainText"/>
        <w:spacing w:lineRule="auto" w:line="240"/>
        <w:ind w:left="0" w:right="0" w:hanging="0"/>
        <w:jc w:val="both"/>
        <w:rPr>
          <w:rFonts w:ascii="Times New Roman" w:hAnsi="Times New Roman"/>
          <w:sz w:val="28"/>
          <w:szCs w:val="28"/>
        </w:rPr>
      </w:pPr>
      <w:r>
        <w:rPr>
          <w:rFonts w:ascii="Times New Roman" w:hAnsi="Times New Roman"/>
          <w:sz w:val="28"/>
          <w:szCs w:val="28"/>
        </w:rPr>
        <w:t>- общественная территория между домом 25 по ул.Ленина и магазином «Магнит»;</w:t>
      </w:r>
    </w:p>
    <w:p>
      <w:pPr>
        <w:pStyle w:val="PlainText"/>
        <w:spacing w:lineRule="auto" w:line="240"/>
        <w:ind w:left="0" w:right="0" w:hanging="0"/>
        <w:jc w:val="both"/>
        <w:rPr>
          <w:rFonts w:ascii="Times New Roman" w:hAnsi="Times New Roman"/>
          <w:sz w:val="28"/>
          <w:szCs w:val="28"/>
        </w:rPr>
      </w:pPr>
      <w:r>
        <w:rPr>
          <w:rFonts w:ascii="Times New Roman" w:hAnsi="Times New Roman"/>
          <w:sz w:val="28"/>
          <w:szCs w:val="28"/>
        </w:rPr>
        <w:t>- общественная территория напротив отдела ЗАГС.</w:t>
      </w:r>
    </w:p>
    <w:p>
      <w:pPr>
        <w:pStyle w:val="Normal"/>
        <w:widowControl w:val="false"/>
        <w:suppressAutoHyphens w:val="true"/>
        <w:bidi w:val="0"/>
        <w:spacing w:lineRule="auto" w:line="240"/>
        <w:ind w:left="0" w:right="0" w:firstLine="567"/>
        <w:jc w:val="both"/>
        <w:rPr/>
      </w:pPr>
      <w:r>
        <w:rPr>
          <w:rFonts w:cs="Times New Roman"/>
          <w:color w:val="000000"/>
          <w:sz w:val="28"/>
          <w:szCs w:val="28"/>
        </w:rPr>
        <w:t xml:space="preserve">Планируется завершить проведение работ по </w:t>
      </w:r>
      <w:r>
        <w:rPr>
          <w:sz w:val="28"/>
          <w:szCs w:val="28"/>
        </w:rPr>
        <w:t xml:space="preserve">благоустройству территории, примыкающей к дому по ул. Гагарина д.1 в г. Сланцы. </w:t>
      </w:r>
    </w:p>
    <w:p>
      <w:pPr>
        <w:pStyle w:val="Normal"/>
        <w:spacing w:lineRule="auto" w:line="240"/>
        <w:ind w:left="0" w:right="0" w:hanging="0"/>
        <w:jc w:val="both"/>
        <w:rPr>
          <w:sz w:val="28"/>
          <w:szCs w:val="28"/>
        </w:rPr>
      </w:pPr>
      <w:r>
        <w:rPr>
          <w:sz w:val="28"/>
          <w:szCs w:val="28"/>
        </w:rPr>
        <w:t xml:space="preserve">Планируется </w:t>
      </w:r>
      <w:r>
        <w:rPr>
          <w:rFonts w:cs="Times New Roman"/>
          <w:color w:val="000000"/>
          <w:sz w:val="28"/>
          <w:szCs w:val="28"/>
        </w:rPr>
        <w:t>завершить проведение работ по</w:t>
      </w:r>
      <w:r>
        <w:rPr>
          <w:sz w:val="28"/>
          <w:szCs w:val="28"/>
        </w:rPr>
        <w:t xml:space="preserve"> благоустройству общественной территории: парковая зона микрорайоне Б.Лучки.</w:t>
      </w:r>
    </w:p>
    <w:p>
      <w:pPr>
        <w:pStyle w:val="Normal"/>
        <w:widowControl w:val="false"/>
        <w:suppressAutoHyphens w:val="true"/>
        <w:bidi w:val="0"/>
        <w:spacing w:lineRule="auto" w:line="240"/>
        <w:ind w:left="0" w:right="0" w:firstLine="567"/>
        <w:jc w:val="both"/>
        <w:rPr/>
      </w:pPr>
      <w:r>
        <w:rPr>
          <w:sz w:val="28"/>
          <w:szCs w:val="28"/>
        </w:rPr>
        <w:t xml:space="preserve">4. Планируется </w:t>
      </w:r>
      <w:r>
        <w:rPr>
          <w:rFonts w:cs="Times New Roman"/>
          <w:sz w:val="28"/>
          <w:szCs w:val="28"/>
        </w:rPr>
        <w:t xml:space="preserve">завершение строительства и ввод в эксплуатацию объекта </w:t>
      </w:r>
      <w:r>
        <w:rPr>
          <w:rFonts w:cs="Times New Roman"/>
          <w:color w:val="000000"/>
          <w:sz w:val="28"/>
          <w:szCs w:val="28"/>
        </w:rPr>
        <w:t>«Физкультурно-оздоровительный комплекс на территории спортивной площадки школы №3 и спортивная площадка на месте незавершенного строительством объекта « Бассейн при школе №12 в г. Сланцы, ул. Грибоедова, д.19а».</w:t>
      </w:r>
    </w:p>
    <w:p>
      <w:pPr>
        <w:pStyle w:val="Normal"/>
        <w:widowControl w:val="false"/>
        <w:suppressAutoHyphens w:val="true"/>
        <w:bidi w:val="0"/>
        <w:spacing w:lineRule="auto" w:line="240"/>
        <w:ind w:left="0" w:right="0" w:firstLine="567"/>
        <w:jc w:val="both"/>
        <w:rPr/>
      </w:pPr>
      <w:r>
        <w:rPr>
          <w:sz w:val="28"/>
          <w:szCs w:val="28"/>
        </w:rPr>
        <w:t xml:space="preserve">5. </w:t>
      </w:r>
      <w:r>
        <w:rPr>
          <w:rFonts w:cs="Times New Roman"/>
          <w:sz w:val="28"/>
          <w:szCs w:val="28"/>
        </w:rPr>
        <w:t>В 2020 году мы будем отмечать 90 лет со дня образования города Сланцы, 75 лет Победы в Великой Отечественной войне. Нам необходимо достойно отметить эти события.</w:t>
      </w:r>
    </w:p>
    <w:p>
      <w:pPr>
        <w:pStyle w:val="Normal"/>
        <w:widowControl w:val="false"/>
        <w:suppressAutoHyphens w:val="true"/>
        <w:bidi w:val="0"/>
        <w:spacing w:lineRule="auto" w:line="240"/>
        <w:ind w:left="0" w:right="0" w:firstLine="510"/>
        <w:jc w:val="both"/>
        <w:rPr/>
      </w:pPr>
      <w:r>
        <w:rPr>
          <w:sz w:val="28"/>
          <w:szCs w:val="28"/>
        </w:rPr>
        <w:t>6. Н</w:t>
      </w:r>
      <w:r>
        <w:rPr>
          <w:rFonts w:cs="Times New Roman"/>
          <w:sz w:val="28"/>
          <w:szCs w:val="28"/>
        </w:rPr>
        <w:t>ачнется капитальный ремонт стадиона «Химик» в рамках государственной программы«Развитие физической культуры и спорта в Ленинградской области», завершение которого планируется в 2021 году. Финансирование составит порядка  55 миллионов рублей из средств областного бюджета и бюджета Сланцевского района.</w:t>
      </w:r>
    </w:p>
    <w:p>
      <w:pPr>
        <w:pStyle w:val="Normal"/>
        <w:widowControl w:val="false"/>
        <w:suppressAutoHyphens w:val="true"/>
        <w:bidi w:val="0"/>
        <w:spacing w:lineRule="auto" w:line="240"/>
        <w:ind w:left="0" w:right="0" w:firstLine="510"/>
        <w:jc w:val="both"/>
        <w:rPr/>
      </w:pPr>
      <w:r>
        <w:rPr>
          <w:rFonts w:cs="Times New Roman"/>
          <w:sz w:val="28"/>
          <w:szCs w:val="28"/>
        </w:rPr>
        <w:t xml:space="preserve">7. Завершится капитальный ремонт сценического оборудования Городского Дома культуры: в рамках 3-го этапа будет обновлено </w:t>
      </w:r>
      <w:r>
        <w:rPr>
          <w:color w:val="000000"/>
          <w:sz w:val="28"/>
          <w:szCs w:val="28"/>
          <w:shd w:fill="FFFFFF" w:val="clear"/>
        </w:rPr>
        <w:t>электроакустическое оборудование сцены и оборудование для видеопоказа на сумму свыше 12  миллионов рублей.</w:t>
      </w:r>
    </w:p>
    <w:p>
      <w:pPr>
        <w:pStyle w:val="Normal"/>
        <w:widowControl w:val="false"/>
        <w:suppressAutoHyphens w:val="true"/>
        <w:bidi w:val="0"/>
        <w:spacing w:lineRule="auto" w:line="240"/>
        <w:ind w:left="0" w:right="0" w:firstLine="510"/>
        <w:jc w:val="both"/>
        <w:rPr/>
      </w:pPr>
      <w:r>
        <w:rPr>
          <w:rStyle w:val="Strong"/>
          <w:b w:val="false"/>
          <w:sz w:val="28"/>
          <w:szCs w:val="28"/>
          <w:shd w:fill="FFFFFF" w:val="clear"/>
        </w:rPr>
        <w:t xml:space="preserve">8. В рамках национального проекта «Культура» </w:t>
      </w:r>
      <w:r>
        <w:rPr>
          <w:rFonts w:cs="Times New Roman"/>
          <w:sz w:val="28"/>
          <w:szCs w:val="28"/>
        </w:rPr>
        <w:t>на базе Центральной детской библиотеки, филиала №1 МКУК СМЦРБ, будет создана модельная муниципальная библиотека, финансирование которой составляет 5 млн. р. из федерального бюджета.</w:t>
      </w:r>
    </w:p>
    <w:p>
      <w:pPr>
        <w:pStyle w:val="Normal"/>
        <w:widowControl w:val="false"/>
        <w:suppressAutoHyphens w:val="true"/>
        <w:bidi w:val="0"/>
        <w:spacing w:lineRule="auto" w:line="240"/>
        <w:ind w:left="0" w:right="0" w:firstLine="567"/>
        <w:jc w:val="both"/>
        <w:rPr/>
      </w:pPr>
      <w:r>
        <w:rPr>
          <w:rFonts w:cs="Times New Roman"/>
          <w:sz w:val="28"/>
          <w:szCs w:val="28"/>
        </w:rPr>
        <w:t>Планомерное продолжение работы в разных направлениях, основанной на поддержке местных инициатив населения, слаженной работе представительных органов власти, администрации и финансовой поддержке из местного, областного и федерального бюджетов, – залог дальнейшего интенсивного развития нашего района и успешного достижения поставленных целей, направленных на повышение качества жизни населения.</w:t>
      </w:r>
    </w:p>
    <w:p>
      <w:pPr>
        <w:pStyle w:val="Normal"/>
        <w:spacing w:lineRule="auto" w:line="240"/>
        <w:ind w:left="0" w:right="0" w:hanging="0"/>
        <w:jc w:val="both"/>
        <w:rPr/>
      </w:pPr>
      <w:r>
        <w:rPr/>
      </w:r>
    </w:p>
    <w:sectPr>
      <w:type w:val="nextPage"/>
      <w:pgSz w:w="11906" w:h="16838"/>
      <w:pgMar w:left="1701" w:right="850"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nsolas">
    <w:charset w:val="cc"/>
    <w:family w:val="roman"/>
    <w:pitch w:val="variable"/>
  </w:font>
  <w:font w:name="Courier New">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Tahoma">
    <w:charset w:val="01"/>
    <w:family w:val="swiss"/>
    <w:pitch w:val="variable"/>
  </w:font>
  <w:font w:name="OpenSymbol">
    <w:altName w:val="Arial Unicode MS"/>
    <w:charset w:val="01"/>
    <w:family w:val="auto"/>
    <w:pitch w:val="variable"/>
  </w:font>
  <w:font w:name="Wingdings 2">
    <w:charset w:val="02"/>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8"/>
        <w:rFonts w:ascii="Times New Roman" w:hAnsi="Times New Roman" w:cs="OpenSymbol"/>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sz w:val="28"/>
        <w:b/>
        <w:szCs w:val="28"/>
        <w:rFonts w:cs="Times New Roman"/>
      </w:rPr>
    </w:lvl>
    <w:lvl w:ilvl="3">
      <w:start w:val="1"/>
      <w:numFmt w:val="none"/>
      <w:suff w:val="nothing"/>
      <w:lvlText w:val=""/>
      <w:lvlJc w:val="left"/>
      <w:pPr>
        <w:ind w:left="864" w:hanging="864"/>
      </w:pPr>
      <w:rPr>
        <w:sz w:val="28"/>
        <w:rFonts w:cs="Times New Roman"/>
      </w:rPr>
    </w:lvl>
    <w:lvl w:ilvl="4">
      <w:start w:val="1"/>
      <w:numFmt w:val="none"/>
      <w:suff w:val="nothing"/>
      <w:lvlText w:val=""/>
      <w:lvlJc w:val="left"/>
      <w:pPr>
        <w:ind w:left="1008" w:hanging="1008"/>
      </w:pPr>
      <w:rPr>
        <w:sz w:val="28"/>
        <w:szCs w:val="28"/>
        <w:rFonts w:eastAsia="Times New Roman"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none"/>
      <w:suff w:val="nothing"/>
      <w:lvlText w:val=""/>
      <w:lvlJc w:val="left"/>
      <w:pPr>
        <w:ind w:left="432" w:hanging="432"/>
      </w:pPr>
      <w:rPr>
        <w:sz w:val="28"/>
        <w:b/>
        <w:szCs w:val="28"/>
        <w:bCs/>
        <w:rFonts w:eastAsia="Times New Roman" w:cs="OpenSymbol"/>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sz w:val="28"/>
        <w:szCs w:val="28"/>
        <w:rFonts w:eastAsia="Times New Roman"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1"/>
      <w:numFmt w:val="bullet"/>
      <w:lvlText w:val="–"/>
      <w:lvlJc w:val="left"/>
      <w:pPr>
        <w:tabs>
          <w:tab w:val="num" w:pos="735"/>
        </w:tabs>
        <w:ind w:left="735" w:hanging="360"/>
      </w:pPr>
      <w:rPr>
        <w:rFonts w:ascii="Tahoma" w:hAnsi="Tahoma" w:cs="Tahoma" w:hint="default"/>
        <w:sz w:val="28"/>
        <w:b w:val="false"/>
        <w:rFonts w:cs="Tahoma"/>
      </w:rPr>
    </w:lvl>
    <w:lvl w:ilvl="1">
      <w:start w:val="1"/>
      <w:numFmt w:val="bullet"/>
      <w:lvlText w:val="◦"/>
      <w:lvlJc w:val="left"/>
      <w:pPr>
        <w:tabs>
          <w:tab w:val="num" w:pos="1095"/>
        </w:tabs>
        <w:ind w:left="1095" w:hanging="360"/>
      </w:pPr>
      <w:rPr>
        <w:rFonts w:ascii="OpenSymbol" w:hAnsi="OpenSymbol" w:cs="OpenSymbol" w:hint="default"/>
        <w:rFonts w:cs="OpenSymbol"/>
      </w:rPr>
    </w:lvl>
    <w:lvl w:ilvl="2">
      <w:start w:val="1"/>
      <w:numFmt w:val="bullet"/>
      <w:lvlText w:val="▪"/>
      <w:lvlJc w:val="left"/>
      <w:pPr>
        <w:tabs>
          <w:tab w:val="num" w:pos="1455"/>
        </w:tabs>
        <w:ind w:left="1455" w:hanging="360"/>
      </w:pPr>
      <w:rPr>
        <w:rFonts w:ascii="OpenSymbol" w:hAnsi="OpenSymbol" w:cs="OpenSymbol" w:hint="default"/>
        <w:rFonts w:cs="OpenSymbol"/>
      </w:rPr>
    </w:lvl>
    <w:lvl w:ilvl="3">
      <w:start w:val="1"/>
      <w:numFmt w:val="bullet"/>
      <w:lvlText w:val=""/>
      <w:lvlJc w:val="left"/>
      <w:pPr>
        <w:tabs>
          <w:tab w:val="num" w:pos="1815"/>
        </w:tabs>
        <w:ind w:left="1815" w:hanging="360"/>
      </w:pPr>
      <w:rPr>
        <w:rFonts w:ascii="Wingdings 2" w:hAnsi="Wingdings 2" w:cs="Wingdings 2" w:hint="default"/>
        <w:rFonts w:cs="Wingdings 2"/>
      </w:rPr>
    </w:lvl>
    <w:lvl w:ilvl="4">
      <w:start w:val="1"/>
      <w:numFmt w:val="bullet"/>
      <w:lvlText w:val="◦"/>
      <w:lvlJc w:val="left"/>
      <w:pPr>
        <w:tabs>
          <w:tab w:val="num" w:pos="2175"/>
        </w:tabs>
        <w:ind w:left="2175" w:hanging="360"/>
      </w:pPr>
      <w:rPr>
        <w:rFonts w:ascii="OpenSymbol" w:hAnsi="OpenSymbol" w:cs="OpenSymbol" w:hint="default"/>
        <w:rFonts w:cs="OpenSymbol"/>
      </w:rPr>
    </w:lvl>
    <w:lvl w:ilvl="5">
      <w:start w:val="1"/>
      <w:numFmt w:val="bullet"/>
      <w:lvlText w:val="▪"/>
      <w:lvlJc w:val="left"/>
      <w:pPr>
        <w:tabs>
          <w:tab w:val="num" w:pos="2535"/>
        </w:tabs>
        <w:ind w:left="2535" w:hanging="360"/>
      </w:pPr>
      <w:rPr>
        <w:rFonts w:ascii="OpenSymbol" w:hAnsi="OpenSymbol" w:cs="OpenSymbol" w:hint="default"/>
        <w:rFonts w:cs="OpenSymbol"/>
      </w:rPr>
    </w:lvl>
    <w:lvl w:ilvl="6">
      <w:start w:val="1"/>
      <w:numFmt w:val="bullet"/>
      <w:lvlText w:val=""/>
      <w:lvlJc w:val="left"/>
      <w:pPr>
        <w:tabs>
          <w:tab w:val="num" w:pos="2895"/>
        </w:tabs>
        <w:ind w:left="2895" w:hanging="360"/>
      </w:pPr>
      <w:rPr>
        <w:rFonts w:ascii="Wingdings 2" w:hAnsi="Wingdings 2" w:cs="Wingdings 2" w:hint="default"/>
        <w:rFonts w:cs="Wingdings 2"/>
      </w:rPr>
    </w:lvl>
    <w:lvl w:ilvl="7">
      <w:start w:val="1"/>
      <w:numFmt w:val="bullet"/>
      <w:lvlText w:val="◦"/>
      <w:lvlJc w:val="left"/>
      <w:pPr>
        <w:tabs>
          <w:tab w:val="num" w:pos="3255"/>
        </w:tabs>
        <w:ind w:left="3255" w:hanging="360"/>
      </w:pPr>
      <w:rPr>
        <w:rFonts w:ascii="OpenSymbol" w:hAnsi="OpenSymbol" w:cs="OpenSymbol" w:hint="default"/>
        <w:rFonts w:cs="OpenSymbol"/>
      </w:rPr>
    </w:lvl>
    <w:lvl w:ilvl="8">
      <w:start w:val="1"/>
      <w:numFmt w:val="bullet"/>
      <w:lvlText w:val="▪"/>
      <w:lvlJc w:val="left"/>
      <w:pPr>
        <w:tabs>
          <w:tab w:val="num" w:pos="3615"/>
        </w:tabs>
        <w:ind w:left="3615"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ind w:left="0" w:hanging="0"/>
      </w:pPr>
      <w:rPr>
        <w:rFonts w:ascii="Times New Roman" w:hAnsi="Times New Roman" w:cs="Times New Roman" w:hint="default"/>
        <w:smallCaps w:val="false"/>
        <w:caps w:val="false"/>
        <w:dstrike w:val="false"/>
        <w:strike w:val="false"/>
        <w:sz w:val="28"/>
        <w:spacing w:val="3"/>
        <w:i w:val="false"/>
        <w:u w:val="none"/>
        <w:b w:val="false"/>
        <w:w w:val="100"/>
        <w:rFonts w:cs="Times New Roman"/>
        <w:color w:val="000000"/>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6">
    <w:lvl w:ilvl="0">
      <w:start w:val="1"/>
      <w:numFmt w:val="bullet"/>
      <w:lvlText w:val=""/>
      <w:lvlJc w:val="left"/>
      <w:pPr>
        <w:ind w:left="1429" w:hanging="360"/>
      </w:pPr>
      <w:rPr>
        <w:rFonts w:ascii="Symbol" w:hAnsi="Symbol" w:cs="Symbol" w:hint="default"/>
        <w:sz w:val="28"/>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Plain Tex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68ee"/>
    <w:pPr>
      <w:widowControl w:val="false"/>
      <w:suppressAutoHyphens w:val="true"/>
      <w:bidi w:val="0"/>
      <w:jc w:val="left"/>
    </w:pPr>
    <w:rPr>
      <w:rFonts w:ascii="Times New Roman" w:hAnsi="Times New Roman" w:eastAsia="Calibri" w:cs="Mangal"/>
      <w:color w:val="auto"/>
      <w:kern w:val="2"/>
      <w:sz w:val="24"/>
      <w:szCs w:val="24"/>
      <w:lang w:val="ru-RU" w:eastAsia="hi-IN" w:bidi="hi-IN"/>
    </w:rPr>
  </w:style>
  <w:style w:type="paragraph" w:styleId="1">
    <w:name w:val="Heading 1"/>
    <w:basedOn w:val="Normal"/>
    <w:next w:val="Normal"/>
    <w:link w:val="Heading1Char"/>
    <w:uiPriority w:val="99"/>
    <w:qFormat/>
    <w:locked/>
    <w:rsid w:val="00da7a69"/>
    <w:pPr>
      <w:keepNext w:val="true"/>
      <w:keepLines/>
      <w:widowControl/>
      <w:suppressAutoHyphens w:val="false"/>
      <w:spacing w:lineRule="auto" w:line="276" w:before="480" w:after="0"/>
      <w:outlineLvl w:val="0"/>
    </w:pPr>
    <w:rPr>
      <w:rFonts w:ascii="Cambria" w:hAnsi="Cambria" w:eastAsia="Times New Roman" w:cs="Times New Roman"/>
      <w:b/>
      <w:bCs/>
      <w:color w:val="365F91"/>
      <w:kern w:val="0"/>
      <w:sz w:val="28"/>
      <w:szCs w:val="28"/>
      <w:lang w:eastAsia="en-US" w:bidi="ar-SA"/>
    </w:rPr>
  </w:style>
  <w:style w:type="paragraph" w:styleId="4">
    <w:name w:val="Heading 4"/>
    <w:basedOn w:val="Normal"/>
    <w:link w:val="Heading4Char"/>
    <w:uiPriority w:val="99"/>
    <w:qFormat/>
    <w:rsid w:val="00743d7f"/>
    <w:pPr>
      <w:widowControl/>
      <w:suppressAutoHyphens w:val="false"/>
      <w:spacing w:beforeAutospacing="1" w:afterAutospacing="1"/>
      <w:outlineLvl w:val="3"/>
    </w:pPr>
    <w:rPr>
      <w:rFonts w:cs="Times New Roman"/>
      <w:b/>
      <w:bCs/>
      <w:kern w:val="0"/>
      <w:lang w:eastAsia="ru-RU" w:bidi="ar-S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da7a69"/>
    <w:rPr>
      <w:rFonts w:ascii="Cambria" w:hAnsi="Cambria" w:cs="Times New Roman"/>
      <w:b/>
      <w:color w:val="365F91"/>
      <w:sz w:val="28"/>
      <w:lang w:eastAsia="en-US"/>
    </w:rPr>
  </w:style>
  <w:style w:type="character" w:styleId="Heading4Char" w:customStyle="1">
    <w:name w:val="Heading 4 Char"/>
    <w:basedOn w:val="DefaultParagraphFont"/>
    <w:link w:val="Heading4"/>
    <w:uiPriority w:val="99"/>
    <w:qFormat/>
    <w:locked/>
    <w:rsid w:val="00743d7f"/>
    <w:rPr>
      <w:rFonts w:ascii="Times New Roman" w:hAnsi="Times New Roman" w:cs="Times New Roman"/>
      <w:b/>
      <w:sz w:val="24"/>
      <w:lang w:eastAsia="ru-RU"/>
    </w:rPr>
  </w:style>
  <w:style w:type="character" w:styleId="Strong">
    <w:name w:val="Strong"/>
    <w:basedOn w:val="DefaultParagraphFont"/>
    <w:uiPriority w:val="99"/>
    <w:qFormat/>
    <w:rsid w:val="005c68ee"/>
    <w:rPr>
      <w:rFonts w:cs="Times New Roman"/>
      <w:b/>
    </w:rPr>
  </w:style>
  <w:style w:type="character" w:styleId="FontStyle13" w:customStyle="1">
    <w:name w:val="Font Style13"/>
    <w:uiPriority w:val="99"/>
    <w:qFormat/>
    <w:rsid w:val="005c68ee"/>
    <w:rPr>
      <w:rFonts w:ascii="Times New Roman" w:hAnsi="Times New Roman"/>
      <w:sz w:val="22"/>
    </w:rPr>
  </w:style>
  <w:style w:type="character" w:styleId="Grame" w:customStyle="1">
    <w:name w:val="grame"/>
    <w:uiPriority w:val="99"/>
    <w:qFormat/>
    <w:rsid w:val="005c68ee"/>
    <w:rPr/>
  </w:style>
  <w:style w:type="character" w:styleId="BodyTextChar" w:customStyle="1">
    <w:name w:val="Body Text Char"/>
    <w:basedOn w:val="DefaultParagraphFont"/>
    <w:link w:val="BodyText"/>
    <w:uiPriority w:val="99"/>
    <w:qFormat/>
    <w:locked/>
    <w:rsid w:val="005c68ee"/>
    <w:rPr>
      <w:rFonts w:ascii="Times New Roman" w:hAnsi="Times New Roman" w:cs="Times New Roman"/>
      <w:kern w:val="2"/>
      <w:sz w:val="24"/>
      <w:lang w:eastAsia="hi-IN" w:bidi="hi-IN"/>
    </w:rPr>
  </w:style>
  <w:style w:type="character" w:styleId="BalloonTextChar" w:customStyle="1">
    <w:name w:val="Balloon Text Char"/>
    <w:basedOn w:val="DefaultParagraphFont"/>
    <w:link w:val="BalloonText"/>
    <w:uiPriority w:val="99"/>
    <w:semiHidden/>
    <w:qFormat/>
    <w:locked/>
    <w:rsid w:val="005c68ee"/>
    <w:rPr>
      <w:rFonts w:ascii="Tahoma" w:hAnsi="Tahoma" w:cs="Times New Roman"/>
      <w:kern w:val="2"/>
      <w:sz w:val="14"/>
      <w:lang w:eastAsia="hi-IN" w:bidi="hi-IN"/>
    </w:rPr>
  </w:style>
  <w:style w:type="character" w:styleId="BodyTextIndentChar" w:customStyle="1">
    <w:name w:val="Body Text Indent Char"/>
    <w:basedOn w:val="DefaultParagraphFont"/>
    <w:link w:val="BodyTextIndent"/>
    <w:uiPriority w:val="99"/>
    <w:semiHidden/>
    <w:qFormat/>
    <w:locked/>
    <w:rsid w:val="001e7858"/>
    <w:rPr>
      <w:rFonts w:ascii="Times New Roman" w:hAnsi="Times New Roman" w:cs="Times New Roman"/>
      <w:kern w:val="2"/>
      <w:sz w:val="21"/>
      <w:lang w:eastAsia="hi-IN" w:bidi="hi-IN"/>
    </w:rPr>
  </w:style>
  <w:style w:type="character" w:styleId="NormalWebChar" w:customStyle="1">
    <w:name w:val="Normal (Web) Char"/>
    <w:link w:val="NormalWeb"/>
    <w:uiPriority w:val="99"/>
    <w:qFormat/>
    <w:locked/>
    <w:rsid w:val="001e7858"/>
    <w:rPr>
      <w:rFonts w:ascii="Times New Roman" w:hAnsi="Times New Roman"/>
      <w:sz w:val="24"/>
      <w:lang w:eastAsia="ru-RU"/>
    </w:rPr>
  </w:style>
  <w:style w:type="character" w:styleId="PlainTextChar" w:customStyle="1">
    <w:name w:val="Plain Text Char"/>
    <w:basedOn w:val="DefaultParagraphFont"/>
    <w:link w:val="PlainText"/>
    <w:uiPriority w:val="99"/>
    <w:qFormat/>
    <w:locked/>
    <w:rsid w:val="002727f3"/>
    <w:rPr>
      <w:rFonts w:ascii="Consolas" w:hAnsi="Consolas" w:cs="Times New Roman"/>
      <w:sz w:val="21"/>
    </w:rPr>
  </w:style>
  <w:style w:type="character" w:styleId="Style12">
    <w:name w:val="Выделение"/>
    <w:basedOn w:val="DefaultParagraphFont"/>
    <w:uiPriority w:val="99"/>
    <w:qFormat/>
    <w:rsid w:val="004a09a8"/>
    <w:rPr>
      <w:rFonts w:cs="Times New Roman"/>
      <w:i/>
    </w:rPr>
  </w:style>
  <w:style w:type="character" w:styleId="CharStyle4" w:customStyle="1">
    <w:name w:val="CharStyle4"/>
    <w:uiPriority w:val="99"/>
    <w:qFormat/>
    <w:rsid w:val="00660152"/>
    <w:rPr>
      <w:rFonts w:ascii="Times New Roman" w:hAnsi="Times New Roman"/>
      <w:color w:val="000000"/>
      <w:spacing w:val="0"/>
      <w:w w:val="100"/>
      <w:position w:val="0"/>
      <w:sz w:val="26"/>
      <w:sz w:val="26"/>
      <w:u w:val="none"/>
      <w:vertAlign w:val="baseline"/>
      <w:lang w:val="ru-RU" w:eastAsia="ru-RU"/>
    </w:rPr>
  </w:style>
  <w:style w:type="character" w:styleId="HTMLPreformattedChar" w:customStyle="1">
    <w:name w:val="HTML Preformatted Char"/>
    <w:basedOn w:val="DefaultParagraphFont"/>
    <w:link w:val="HTMLPreformatted"/>
    <w:uiPriority w:val="99"/>
    <w:qFormat/>
    <w:locked/>
    <w:rsid w:val="00a44867"/>
    <w:rPr>
      <w:rFonts w:ascii="Courier New" w:hAnsi="Courier New" w:cs="Times New Roman"/>
      <w:sz w:val="20"/>
      <w:lang w:eastAsia="zh-CN"/>
    </w:rPr>
  </w:style>
  <w:style w:type="character" w:styleId="Style13">
    <w:name w:val="Интернет-ссылка"/>
    <w:basedOn w:val="DefaultParagraphFont"/>
    <w:uiPriority w:val="99"/>
    <w:rsid w:val="000e6bc6"/>
    <w:rPr>
      <w:rFonts w:cs="Times New Roman"/>
      <w:color w:val="000080"/>
      <w:u w:val="single"/>
    </w:rPr>
  </w:style>
  <w:style w:type="character" w:styleId="Style14" w:customStyle="1">
    <w:name w:val="Основной текст_"/>
    <w:basedOn w:val="DefaultParagraphFont"/>
    <w:link w:val="20"/>
    <w:uiPriority w:val="99"/>
    <w:qFormat/>
    <w:locked/>
    <w:rsid w:val="00691c55"/>
    <w:rPr>
      <w:rFonts w:ascii="Times New Roman" w:hAnsi="Times New Roman" w:cs="Times New Roman"/>
      <w:spacing w:val="3"/>
      <w:shd w:fill="FFFFFF" w:val="clear"/>
    </w:rPr>
  </w:style>
  <w:style w:type="character" w:styleId="11" w:customStyle="1">
    <w:name w:val="Основной текст1"/>
    <w:basedOn w:val="Style14"/>
    <w:uiPriority w:val="99"/>
    <w:qFormat/>
    <w:rsid w:val="00ec3c78"/>
    <w:rPr>
      <w:color w:val="000000"/>
      <w:spacing w:val="5"/>
      <w:w w:val="100"/>
      <w:sz w:val="24"/>
      <w:szCs w:val="24"/>
      <w:lang w:val="ru-RU" w:eastAsia="ru-RU"/>
    </w:rPr>
  </w:style>
  <w:style w:type="character" w:styleId="3" w:customStyle="1">
    <w:name w:val="Основной текст3"/>
    <w:basedOn w:val="Style14"/>
    <w:uiPriority w:val="99"/>
    <w:qFormat/>
    <w:rsid w:val="00ec3c78"/>
    <w:rPr>
      <w:color w:val="000000"/>
      <w:spacing w:val="5"/>
      <w:w w:val="100"/>
      <w:sz w:val="24"/>
      <w:szCs w:val="24"/>
      <w:lang w:val="ru-RU" w:eastAsia="ru-RU"/>
    </w:rPr>
  </w:style>
  <w:style w:type="character" w:styleId="41" w:customStyle="1">
    <w:name w:val="Основной текст4"/>
    <w:basedOn w:val="Style14"/>
    <w:uiPriority w:val="99"/>
    <w:qFormat/>
    <w:rsid w:val="00ec3c78"/>
    <w:rPr>
      <w:color w:val="000000"/>
      <w:spacing w:val="5"/>
      <w:w w:val="100"/>
      <w:sz w:val="24"/>
      <w:szCs w:val="24"/>
      <w:u w:val="none"/>
      <w:lang w:val="ru-RU" w:eastAsia="ru-RU"/>
    </w:rPr>
  </w:style>
  <w:style w:type="character" w:styleId="Web1" w:customStyle="1">
    <w:name w:val="Обычный (Web) Знак1"/>
    <w:basedOn w:val="DefaultParagraphFont"/>
    <w:uiPriority w:val="99"/>
    <w:qFormat/>
    <w:locked/>
    <w:rsid w:val="00bf17d1"/>
    <w:rPr>
      <w:rFonts w:cs="Times New Roman"/>
      <w:sz w:val="24"/>
      <w:szCs w:val="24"/>
      <w:lang w:val="ru-RU" w:eastAsia="zh-CN" w:bidi="ar-SA"/>
    </w:rPr>
  </w:style>
  <w:style w:type="character" w:styleId="Style15" w:customStyle="1">
    <w:name w:val="Знак Знак"/>
    <w:basedOn w:val="DefaultParagraphFont"/>
    <w:uiPriority w:val="99"/>
    <w:qFormat/>
    <w:rsid w:val="00b60552"/>
    <w:rPr>
      <w:rFonts w:ascii="Consolas" w:hAnsi="Consolas" w:eastAsia="Times New Roman" w:cs="Times New Roman"/>
      <w:sz w:val="21"/>
      <w:szCs w:val="21"/>
      <w:lang w:eastAsia="en-US"/>
    </w:rPr>
  </w:style>
  <w:style w:type="character" w:styleId="ListLabel1">
    <w:name w:val="ListLabel 1"/>
    <w:qFormat/>
    <w:rPr>
      <w:rFonts w:ascii="Times New Roman" w:hAnsi="Times New Roman" w:cs="OpenSymbol"/>
      <w:sz w:val="28"/>
    </w:rPr>
  </w:style>
  <w:style w:type="character" w:styleId="ListLabel2">
    <w:name w:val="ListLabel 2"/>
    <w:qFormat/>
    <w:rPr>
      <w:rFonts w:cs="Times New Roman"/>
    </w:rPr>
  </w:style>
  <w:style w:type="character" w:styleId="ListLabel3">
    <w:name w:val="ListLabel 3"/>
    <w:qFormat/>
    <w:rPr>
      <w:rFonts w:cs="Times New Roman"/>
      <w:b/>
      <w:sz w:val="28"/>
      <w:szCs w:val="28"/>
    </w:rPr>
  </w:style>
  <w:style w:type="character" w:styleId="ListLabel4">
    <w:name w:val="ListLabel 4"/>
    <w:qFormat/>
    <w:rPr>
      <w:rFonts w:cs="Times New Roman"/>
      <w:sz w:val="28"/>
    </w:rPr>
  </w:style>
  <w:style w:type="character" w:styleId="ListLabel5">
    <w:name w:val="ListLabel 5"/>
    <w:qFormat/>
    <w:rPr>
      <w:rFonts w:eastAsia="Times New Roman" w:cs="Times New Roman"/>
      <w:sz w:val="28"/>
      <w:szCs w:val="28"/>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cs="OpenSymbol"/>
      <w:b/>
      <w:bCs/>
      <w:sz w:val="28"/>
      <w:szCs w:val="28"/>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eastAsia="Times New Roman" w:cs="Times New Roman"/>
      <w:sz w:val="28"/>
      <w:szCs w:val="28"/>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sz w:val="28"/>
    </w:rPr>
  </w:style>
  <w:style w:type="character" w:styleId="ListLabel20">
    <w:name w:val="ListLabel 20"/>
    <w:qFormat/>
    <w:rPr>
      <w:strike w:val="false"/>
      <w:dstrike w:val="false"/>
      <w:u w:val="none"/>
      <w:effect w:val="none"/>
    </w:rPr>
  </w:style>
  <w:style w:type="character" w:styleId="ListLabel21">
    <w:name w:val="ListLabel 21"/>
    <w:qFormat/>
    <w:rPr>
      <w:strike w:val="false"/>
      <w:dstrike w:val="false"/>
      <w:u w:val="none"/>
      <w:effect w:val="none"/>
    </w:rPr>
  </w:style>
  <w:style w:type="character" w:styleId="ListLabel22">
    <w:name w:val="ListLabel 22"/>
    <w:qFormat/>
    <w:rPr>
      <w:strike w:val="false"/>
      <w:dstrike w:val="false"/>
      <w:u w:val="none"/>
      <w:effect w:val="none"/>
    </w:rPr>
  </w:style>
  <w:style w:type="character" w:styleId="ListLabel23">
    <w:name w:val="ListLabel 23"/>
    <w:qFormat/>
    <w:rPr>
      <w:strike w:val="false"/>
      <w:dstrike w:val="false"/>
      <w:u w:val="none"/>
      <w:effect w:val="none"/>
    </w:rPr>
  </w:style>
  <w:style w:type="character" w:styleId="ListLabel24">
    <w:name w:val="ListLabel 24"/>
    <w:qFormat/>
    <w:rPr>
      <w:strike w:val="false"/>
      <w:dstrike w:val="false"/>
      <w:u w:val="none"/>
      <w:effect w:val="none"/>
    </w:rPr>
  </w:style>
  <w:style w:type="character" w:styleId="ListLabel25">
    <w:name w:val="ListLabel 25"/>
    <w:qFormat/>
    <w:rPr>
      <w:strike w:val="false"/>
      <w:dstrike w:val="false"/>
      <w:u w:val="none"/>
      <w:effect w:val="none"/>
    </w:rPr>
  </w:style>
  <w:style w:type="character" w:styleId="ListLabel26">
    <w:name w:val="ListLabel 26"/>
    <w:qFormat/>
    <w:rPr>
      <w:strike w:val="false"/>
      <w:dstrike w:val="false"/>
      <w:u w:val="none"/>
      <w:effect w:val="none"/>
    </w:rPr>
  </w:style>
  <w:style w:type="character" w:styleId="ListLabel27">
    <w:name w:val="ListLabel 27"/>
    <w:qFormat/>
    <w:rPr>
      <w:strike w:val="false"/>
      <w:dstrike w:val="false"/>
      <w:u w:val="none"/>
      <w:effect w:val="none"/>
    </w:rPr>
  </w:style>
  <w:style w:type="character" w:styleId="ListLabel28">
    <w:name w:val="ListLabel 28"/>
    <w:qFormat/>
    <w:rPr>
      <w:strike w:val="false"/>
      <w:dstrike w:val="false"/>
      <w:u w:val="none"/>
      <w:effect w:val="none"/>
    </w:rPr>
  </w:style>
  <w:style w:type="character" w:styleId="ListLabel29">
    <w:name w:val="ListLabel 29"/>
    <w:qFormat/>
    <w:rPr>
      <w:strike w:val="false"/>
      <w:dstrike w:val="false"/>
      <w:u w:val="none"/>
      <w:effect w:val="none"/>
    </w:rPr>
  </w:style>
  <w:style w:type="character" w:styleId="ListLabel30">
    <w:name w:val="ListLabel 30"/>
    <w:qFormat/>
    <w:rPr>
      <w:strike w:val="false"/>
      <w:dstrike w:val="false"/>
      <w:u w:val="none"/>
      <w:effect w:val="none"/>
    </w:rPr>
  </w:style>
  <w:style w:type="character" w:styleId="ListLabel31">
    <w:name w:val="ListLabel 31"/>
    <w:qFormat/>
    <w:rPr>
      <w:strike w:val="false"/>
      <w:dstrike w:val="false"/>
      <w:u w:val="none"/>
      <w:effect w:val="none"/>
    </w:rPr>
  </w:style>
  <w:style w:type="character" w:styleId="ListLabel32">
    <w:name w:val="ListLabel 32"/>
    <w:qFormat/>
    <w:rPr>
      <w:strike w:val="false"/>
      <w:dstrike w:val="false"/>
      <w:u w:val="none"/>
      <w:effect w:val="none"/>
    </w:rPr>
  </w:style>
  <w:style w:type="character" w:styleId="ListLabel33">
    <w:name w:val="ListLabel 33"/>
    <w:qFormat/>
    <w:rPr>
      <w:strike w:val="false"/>
      <w:dstrike w:val="false"/>
      <w:u w:val="none"/>
      <w:effect w:val="none"/>
    </w:rPr>
  </w:style>
  <w:style w:type="character" w:styleId="ListLabel34">
    <w:name w:val="ListLabel 34"/>
    <w:qFormat/>
    <w:rPr>
      <w:strike w:val="false"/>
      <w:dstrike w:val="false"/>
      <w:u w:val="none"/>
      <w:effect w:val="none"/>
    </w:rPr>
  </w:style>
  <w:style w:type="character" w:styleId="ListLabel35">
    <w:name w:val="ListLabel 35"/>
    <w:qFormat/>
    <w:rPr>
      <w:strike w:val="false"/>
      <w:dstrike w:val="false"/>
      <w:u w:val="none"/>
      <w:effect w:val="none"/>
    </w:rPr>
  </w:style>
  <w:style w:type="character" w:styleId="ListLabel36">
    <w:name w:val="ListLabel 36"/>
    <w:qFormat/>
    <w:rPr>
      <w:strike w:val="false"/>
      <w:dstrike w:val="false"/>
      <w:u w:val="none"/>
      <w:effect w:val="none"/>
    </w:rPr>
  </w:style>
  <w:style w:type="character" w:styleId="ListLabel37">
    <w:name w:val="ListLabel 37"/>
    <w:qFormat/>
    <w:rPr>
      <w:strike w:val="false"/>
      <w:dstrike w:val="false"/>
      <w:u w:val="none"/>
      <w:effect w:val="none"/>
    </w:rPr>
  </w:style>
  <w:style w:type="character" w:styleId="ListLabel38">
    <w:name w:val="ListLabel 38"/>
    <w:qFormat/>
    <w:rPr>
      <w:strike w:val="false"/>
      <w:dstrike w:val="false"/>
      <w:u w:val="none"/>
      <w:effect w:val="none"/>
    </w:rPr>
  </w:style>
  <w:style w:type="character" w:styleId="ListLabel39">
    <w:name w:val="ListLabel 39"/>
    <w:qFormat/>
    <w:rPr>
      <w:strike w:val="false"/>
      <w:dstrike w:val="false"/>
      <w:u w:val="none"/>
      <w:effect w:val="none"/>
    </w:rPr>
  </w:style>
  <w:style w:type="character" w:styleId="ListLabel40">
    <w:name w:val="ListLabel 40"/>
    <w:qFormat/>
    <w:rPr>
      <w:strike w:val="false"/>
      <w:dstrike w:val="false"/>
      <w:u w:val="none"/>
      <w:effect w:val="none"/>
    </w:rPr>
  </w:style>
  <w:style w:type="character" w:styleId="ListLabel41">
    <w:name w:val="ListLabel 41"/>
    <w:qFormat/>
    <w:rPr>
      <w:strike w:val="false"/>
      <w:dstrike w:val="false"/>
      <w:u w:val="none"/>
      <w:effect w:val="none"/>
    </w:rPr>
  </w:style>
  <w:style w:type="character" w:styleId="ListLabel42">
    <w:name w:val="ListLabel 42"/>
    <w:qFormat/>
    <w:rPr>
      <w:strike w:val="false"/>
      <w:dstrike w:val="false"/>
      <w:u w:val="none"/>
      <w:effect w:val="none"/>
    </w:rPr>
  </w:style>
  <w:style w:type="character" w:styleId="ListLabel43">
    <w:name w:val="ListLabel 43"/>
    <w:qFormat/>
    <w:rPr>
      <w:strike w:val="false"/>
      <w:dstrike w:val="false"/>
      <w:u w:val="none"/>
      <w:effect w:val="none"/>
    </w:rPr>
  </w:style>
  <w:style w:type="character" w:styleId="ListLabel44">
    <w:name w:val="ListLabel 44"/>
    <w:qFormat/>
    <w:rPr>
      <w:strike w:val="false"/>
      <w:dstrike w:val="false"/>
      <w:u w:val="none"/>
      <w:effect w:val="none"/>
    </w:rPr>
  </w:style>
  <w:style w:type="character" w:styleId="ListLabel45">
    <w:name w:val="ListLabel 45"/>
    <w:qFormat/>
    <w:rPr>
      <w:strike w:val="false"/>
      <w:dstrike w:val="false"/>
      <w:u w:val="none"/>
      <w:effect w:val="none"/>
    </w:rPr>
  </w:style>
  <w:style w:type="character" w:styleId="ListLabel46">
    <w:name w:val="ListLabel 46"/>
    <w:qFormat/>
    <w:rPr>
      <w:strike w:val="false"/>
      <w:dstrike w:val="false"/>
      <w:u w:val="none"/>
      <w:effect w:val="none"/>
    </w:rPr>
  </w:style>
  <w:style w:type="character" w:styleId="ListLabel47">
    <w:name w:val="ListLabel 47"/>
    <w:qFormat/>
    <w:rPr>
      <w:strike w:val="false"/>
      <w:dstrike w:val="false"/>
      <w:u w:val="none"/>
      <w:effect w:val="none"/>
    </w:rPr>
  </w:style>
  <w:style w:type="character" w:styleId="ListLabel48">
    <w:name w:val="ListLabel 48"/>
    <w:qFormat/>
    <w:rPr>
      <w:strike w:val="false"/>
      <w:dstrike w:val="false"/>
      <w:u w:val="none"/>
      <w:effect w:val="none"/>
    </w:rPr>
  </w:style>
  <w:style w:type="character" w:styleId="ListLabel49">
    <w:name w:val="ListLabel 49"/>
    <w:qFormat/>
    <w:rPr>
      <w:strike w:val="false"/>
      <w:dstrike w:val="false"/>
      <w:u w:val="none"/>
      <w:effect w:val="none"/>
    </w:rPr>
  </w:style>
  <w:style w:type="character" w:styleId="ListLabel50">
    <w:name w:val="ListLabel 50"/>
    <w:qFormat/>
    <w:rPr>
      <w:strike w:val="false"/>
      <w:dstrike w:val="false"/>
      <w:u w:val="none"/>
      <w:effect w:val="none"/>
    </w:rPr>
  </w:style>
  <w:style w:type="character" w:styleId="ListLabel51">
    <w:name w:val="ListLabel 51"/>
    <w:qFormat/>
    <w:rPr>
      <w:strike w:val="false"/>
      <w:dstrike w:val="false"/>
      <w:u w:val="none"/>
      <w:effect w:val="none"/>
    </w:rPr>
  </w:style>
  <w:style w:type="character" w:styleId="ListLabel52">
    <w:name w:val="ListLabel 52"/>
    <w:qFormat/>
    <w:rPr>
      <w:strike w:val="false"/>
      <w:dstrike w:val="false"/>
      <w:u w:val="none"/>
      <w:effect w:val="none"/>
    </w:rPr>
  </w:style>
  <w:style w:type="character" w:styleId="ListLabel53">
    <w:name w:val="ListLabel 53"/>
    <w:qFormat/>
    <w:rPr>
      <w:strike w:val="false"/>
      <w:dstrike w:val="false"/>
      <w:u w:val="none"/>
      <w:effect w:val="none"/>
    </w:rPr>
  </w:style>
  <w:style w:type="character" w:styleId="ListLabel54">
    <w:name w:val="ListLabel 54"/>
    <w:qFormat/>
    <w:rPr>
      <w:strike w:val="false"/>
      <w:dstrike w:val="false"/>
      <w:u w:val="none"/>
      <w:effect w:val="none"/>
    </w:rPr>
  </w:style>
  <w:style w:type="character" w:styleId="ListLabel55">
    <w:name w:val="ListLabel 55"/>
    <w:qFormat/>
    <w:rPr>
      <w:strike w:val="false"/>
      <w:dstrike w:val="false"/>
      <w:u w:val="none"/>
      <w:effect w:val="none"/>
    </w:rPr>
  </w:style>
  <w:style w:type="character" w:styleId="ListLabel56">
    <w:name w:val="ListLabel 56"/>
    <w:qFormat/>
    <w:rPr>
      <w:strike w:val="false"/>
      <w:dstrike w:val="false"/>
      <w:u w:val="none"/>
      <w:effect w:val="none"/>
    </w:rPr>
  </w:style>
  <w:style w:type="character" w:styleId="ListLabel57">
    <w:name w:val="ListLabel 57"/>
    <w:qFormat/>
    <w:rPr>
      <w:strike w:val="false"/>
      <w:dstrike w:val="false"/>
      <w:u w:val="none"/>
      <w:effect w:val="none"/>
    </w:rPr>
  </w:style>
  <w:style w:type="character" w:styleId="ListLabel58">
    <w:name w:val="ListLabel 58"/>
    <w:qFormat/>
    <w:rPr>
      <w:strike w:val="false"/>
      <w:dstrike w:val="false"/>
      <w:u w:val="none"/>
      <w:effect w:val="none"/>
    </w:rPr>
  </w:style>
  <w:style w:type="character" w:styleId="ListLabel59">
    <w:name w:val="ListLabel 59"/>
    <w:qFormat/>
    <w:rPr>
      <w:strike w:val="false"/>
      <w:dstrike w:val="false"/>
      <w:u w:val="none"/>
      <w:effect w:val="none"/>
    </w:rPr>
  </w:style>
  <w:style w:type="character" w:styleId="ListLabel60">
    <w:name w:val="ListLabel 60"/>
    <w:qFormat/>
    <w:rPr>
      <w:strike w:val="false"/>
      <w:dstrike w:val="false"/>
      <w:u w:val="none"/>
      <w:effect w:val="none"/>
    </w:rPr>
  </w:style>
  <w:style w:type="character" w:styleId="ListLabel61">
    <w:name w:val="ListLabel 61"/>
    <w:qFormat/>
    <w:rPr>
      <w:strike w:val="false"/>
      <w:dstrike w:val="false"/>
      <w:u w:val="none"/>
      <w:effect w:val="none"/>
    </w:rPr>
  </w:style>
  <w:style w:type="character" w:styleId="ListLabel62">
    <w:name w:val="ListLabel 62"/>
    <w:qFormat/>
    <w:rPr>
      <w:strike w:val="false"/>
      <w:dstrike w:val="false"/>
      <w:u w:val="none"/>
      <w:effect w:val="none"/>
    </w:rPr>
  </w:style>
  <w:style w:type="character" w:styleId="ListLabel63">
    <w:name w:val="ListLabel 63"/>
    <w:qFormat/>
    <w:rPr>
      <w:strike w:val="false"/>
      <w:dstrike w:val="false"/>
      <w:u w:val="none"/>
      <w:effect w:val="none"/>
    </w:rPr>
  </w:style>
  <w:style w:type="character" w:styleId="ListLabel64">
    <w:name w:val="ListLabel 64"/>
    <w:qFormat/>
    <w:rPr>
      <w:strike w:val="false"/>
      <w:dstrike w:val="false"/>
      <w:u w:val="none"/>
      <w:effect w:val="none"/>
    </w:rPr>
  </w:style>
  <w:style w:type="character" w:styleId="ListLabel65">
    <w:name w:val="ListLabel 65"/>
    <w:qFormat/>
    <w:rPr>
      <w:rFonts w:cs="Times New Roman"/>
      <w:b/>
      <w:color w:val="auto"/>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color w:val="auto"/>
    </w:rPr>
  </w:style>
  <w:style w:type="character" w:styleId="ListLabel75">
    <w:name w:val="ListLabel 75"/>
    <w:qFormat/>
    <w:rPr>
      <w:strike w:val="false"/>
      <w:dstrike w:val="false"/>
      <w:u w:val="none"/>
      <w:effect w:val="none"/>
    </w:rPr>
  </w:style>
  <w:style w:type="character" w:styleId="ListLabel76">
    <w:name w:val="ListLabel 76"/>
    <w:qFormat/>
    <w:rPr>
      <w:strike w:val="false"/>
      <w:dstrike w:val="false"/>
      <w:u w:val="none"/>
      <w:effect w:val="none"/>
    </w:rPr>
  </w:style>
  <w:style w:type="character" w:styleId="ListLabel77">
    <w:name w:val="ListLabel 77"/>
    <w:qFormat/>
    <w:rPr>
      <w:strike w:val="false"/>
      <w:dstrike w:val="false"/>
      <w:u w:val="none"/>
      <w:effect w:val="none"/>
    </w:rPr>
  </w:style>
  <w:style w:type="character" w:styleId="ListLabel78">
    <w:name w:val="ListLabel 78"/>
    <w:qFormat/>
    <w:rPr>
      <w:strike w:val="false"/>
      <w:dstrike w:val="false"/>
      <w:u w:val="none"/>
      <w:effect w:val="none"/>
    </w:rPr>
  </w:style>
  <w:style w:type="character" w:styleId="ListLabel79">
    <w:name w:val="ListLabel 79"/>
    <w:qFormat/>
    <w:rPr>
      <w:strike w:val="false"/>
      <w:dstrike w:val="false"/>
      <w:u w:val="none"/>
      <w:effect w:val="none"/>
    </w:rPr>
  </w:style>
  <w:style w:type="character" w:styleId="ListLabel80">
    <w:name w:val="ListLabel 80"/>
    <w:qFormat/>
    <w:rPr>
      <w:strike w:val="false"/>
      <w:dstrike w:val="false"/>
      <w:u w:val="none"/>
      <w:effect w:val="none"/>
    </w:rPr>
  </w:style>
  <w:style w:type="character" w:styleId="ListLabel81">
    <w:name w:val="ListLabel 81"/>
    <w:qFormat/>
    <w:rPr>
      <w:strike w:val="false"/>
      <w:dstrike w:val="false"/>
      <w:u w:val="none"/>
      <w:effect w:val="none"/>
    </w:rPr>
  </w:style>
  <w:style w:type="character" w:styleId="ListLabel82">
    <w:name w:val="ListLabel 82"/>
    <w:qFormat/>
    <w:rPr>
      <w:strike w:val="false"/>
      <w:dstrike w:val="false"/>
      <w:u w:val="none"/>
      <w:effect w:val="none"/>
    </w:rPr>
  </w:style>
  <w:style w:type="character" w:styleId="ListLabel83">
    <w:name w:val="ListLabel 83"/>
    <w:qFormat/>
    <w:rPr>
      <w:strike w:val="false"/>
      <w:dstrike w:val="false"/>
      <w:u w:val="none"/>
      <w:effect w:val="none"/>
    </w:rPr>
  </w:style>
  <w:style w:type="character" w:styleId="ListLabel84">
    <w:name w:val="ListLabel 84"/>
    <w:qFormat/>
    <w:rPr>
      <w:b w:val="false"/>
      <w:sz w:val="28"/>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sz w:val="28"/>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rFonts w:eastAsia="Times New Roman"/>
      <w:b w:val="false"/>
      <w:i w:val="false"/>
      <w:caps w:val="false"/>
      <w:smallCaps w:val="false"/>
      <w:strike w:val="false"/>
      <w:dstrike w:val="false"/>
      <w:color w:val="000000"/>
      <w:spacing w:val="3"/>
      <w:w w:val="100"/>
      <w:sz w:val="28"/>
      <w:u w:val="none"/>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eastAsia="Times New Roman"/>
      <w:b w:val="false"/>
      <w:i w:val="false"/>
      <w:caps w:val="false"/>
      <w:smallCaps w:val="false"/>
      <w:strike w:val="false"/>
      <w:dstrike w:val="false"/>
      <w:color w:val="000000"/>
      <w:spacing w:val="4"/>
      <w:w w:val="100"/>
      <w:sz w:val="28"/>
      <w:u w:val="none"/>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sz w:val="28"/>
      <w:szCs w:val="28"/>
    </w:rPr>
  </w:style>
  <w:style w:type="character" w:styleId="Style16">
    <w:name w:val="Маркеры списка"/>
    <w:qFormat/>
    <w:rPr>
      <w:rFonts w:ascii="OpenSymbol" w:hAnsi="OpenSymbol" w:eastAsia="OpenSymbol" w:cs="OpenSymbol"/>
    </w:rPr>
  </w:style>
  <w:style w:type="character" w:styleId="ListLabel131">
    <w:name w:val="ListLabel 131"/>
    <w:qFormat/>
    <w:rPr>
      <w:rFonts w:ascii="Times New Roman" w:hAnsi="Times New Roman" w:cs="OpenSymbol"/>
      <w:sz w:val="28"/>
    </w:rPr>
  </w:style>
  <w:style w:type="character" w:styleId="ListLabel132">
    <w:name w:val="ListLabel 132"/>
    <w:qFormat/>
    <w:rPr>
      <w:rFonts w:cs="Times New Roman"/>
    </w:rPr>
  </w:style>
  <w:style w:type="character" w:styleId="ListLabel133">
    <w:name w:val="ListLabel 133"/>
    <w:qFormat/>
    <w:rPr>
      <w:rFonts w:cs="Times New Roman"/>
      <w:b/>
      <w:sz w:val="28"/>
      <w:szCs w:val="28"/>
    </w:rPr>
  </w:style>
  <w:style w:type="character" w:styleId="ListLabel134">
    <w:name w:val="ListLabel 134"/>
    <w:qFormat/>
    <w:rPr>
      <w:rFonts w:cs="Times New Roman"/>
      <w:sz w:val="28"/>
    </w:rPr>
  </w:style>
  <w:style w:type="character" w:styleId="ListLabel135">
    <w:name w:val="ListLabel 135"/>
    <w:qFormat/>
    <w:rPr>
      <w:rFonts w:eastAsia="Times New Roman" w:cs="Times New Roman"/>
      <w:sz w:val="28"/>
      <w:szCs w:val="28"/>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eastAsia="Times New Roman" w:cs="OpenSymbol"/>
      <w:b/>
      <w:bCs/>
      <w:sz w:val="28"/>
      <w:szCs w:val="28"/>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eastAsia="Times New Roman" w:cs="Times New Roman"/>
      <w:sz w:val="28"/>
      <w:szCs w:val="28"/>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ahoma"/>
      <w:b w:val="false"/>
      <w:sz w:val="28"/>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Wingdings 2"/>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Wingdings 2"/>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Symbol"/>
      <w:sz w:val="28"/>
    </w:rPr>
  </w:style>
  <w:style w:type="character" w:styleId="ListLabel159">
    <w:name w:val="ListLabel 159"/>
    <w:qFormat/>
    <w:rPr>
      <w:rFonts w:cs="Courier New"/>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cs="Wingdings"/>
      <w:sz w:val="20"/>
    </w:rPr>
  </w:style>
  <w:style w:type="character" w:styleId="ListLabel164">
    <w:name w:val="ListLabel 164"/>
    <w:qFormat/>
    <w:rPr>
      <w:rFonts w:cs="Wingdings"/>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Times New Roman"/>
      <w:b w:val="false"/>
      <w:i w:val="false"/>
      <w:caps w:val="false"/>
      <w:smallCaps w:val="false"/>
      <w:strike w:val="false"/>
      <w:dstrike w:val="false"/>
      <w:color w:val="000000"/>
      <w:spacing w:val="3"/>
      <w:w w:val="100"/>
      <w:sz w:val="28"/>
      <w:u w:val="none"/>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Symbol"/>
      <w:sz w:val="28"/>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Times New Roman"/>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link w:val="BodyTextChar"/>
    <w:uiPriority w:val="99"/>
    <w:rsid w:val="005c68ee"/>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095" w:customStyle="1">
    <w:name w:val="Стиль Первая строка:  095 см"/>
    <w:basedOn w:val="Normal"/>
    <w:uiPriority w:val="99"/>
    <w:qFormat/>
    <w:rsid w:val="005c68ee"/>
    <w:pPr>
      <w:ind w:firstLine="540"/>
      <w:jc w:val="both"/>
    </w:pPr>
    <w:rPr>
      <w:sz w:val="20"/>
    </w:rPr>
  </w:style>
  <w:style w:type="paragraph" w:styleId="12" w:customStyle="1">
    <w:name w:val="Обычный1"/>
    <w:uiPriority w:val="99"/>
    <w:qFormat/>
    <w:rsid w:val="005c68ee"/>
    <w:pPr>
      <w:widowControl/>
      <w:bidi w:val="0"/>
      <w:spacing w:lineRule="auto" w:line="276"/>
      <w:jc w:val="left"/>
    </w:pPr>
    <w:rPr>
      <w:rFonts w:ascii="Arial" w:hAnsi="Arial" w:eastAsia="Calibri" w:cs="Arial"/>
      <w:color w:val="auto"/>
      <w:kern w:val="0"/>
      <w:sz w:val="24"/>
      <w:szCs w:val="22"/>
      <w:lang w:val="ru-RU" w:eastAsia="ru-RU" w:bidi="ar-SA"/>
    </w:rPr>
  </w:style>
  <w:style w:type="paragraph" w:styleId="BalloonText">
    <w:name w:val="Balloon Text"/>
    <w:basedOn w:val="Normal"/>
    <w:link w:val="BalloonTextChar"/>
    <w:uiPriority w:val="99"/>
    <w:semiHidden/>
    <w:qFormat/>
    <w:rsid w:val="005c68ee"/>
    <w:pPr/>
    <w:rPr>
      <w:rFonts w:ascii="Tahoma" w:hAnsi="Tahoma"/>
      <w:sz w:val="14"/>
      <w:szCs w:val="14"/>
    </w:rPr>
  </w:style>
  <w:style w:type="paragraph" w:styleId="ConsPlusNormal" w:customStyle="1">
    <w:name w:val="ConsPlusNormal"/>
    <w:uiPriority w:val="99"/>
    <w:qFormat/>
    <w:rsid w:val="005c68ee"/>
    <w:pPr>
      <w:widowControl w:val="false"/>
      <w:suppressAutoHyphens w:val="true"/>
      <w:bidi w:val="0"/>
      <w:ind w:firstLine="720"/>
      <w:jc w:val="left"/>
    </w:pPr>
    <w:rPr>
      <w:rFonts w:ascii="Arial" w:hAnsi="Arial" w:eastAsia="Times New Roman" w:cs="Arial"/>
      <w:color w:val="00000A"/>
      <w:kern w:val="0"/>
      <w:sz w:val="20"/>
      <w:szCs w:val="20"/>
      <w:lang w:val="ru-RU" w:eastAsia="en-US" w:bidi="ar-SA"/>
    </w:rPr>
  </w:style>
  <w:style w:type="paragraph" w:styleId="13" w:customStyle="1">
    <w:name w:val="Без интервала1"/>
    <w:uiPriority w:val="99"/>
    <w:qFormat/>
    <w:rsid w:val="005c68ee"/>
    <w:pPr>
      <w:widowControl w:val="false"/>
      <w:suppressAutoHyphens w:val="true"/>
      <w:bidi w:val="0"/>
      <w:spacing w:lineRule="atLeast" w:line="100"/>
      <w:jc w:val="left"/>
    </w:pPr>
    <w:rPr>
      <w:rFonts w:ascii="Times New Roman" w:hAnsi="Times New Roman" w:eastAsia="Calibri" w:cs="Times New Roman"/>
      <w:color w:val="000000"/>
      <w:kern w:val="0"/>
      <w:sz w:val="24"/>
      <w:szCs w:val="24"/>
      <w:lang w:val="en-US" w:eastAsia="en-US" w:bidi="ar-SA"/>
    </w:rPr>
  </w:style>
  <w:style w:type="paragraph" w:styleId="Style22">
    <w:name w:val="Body Text Indent"/>
    <w:basedOn w:val="Normal"/>
    <w:link w:val="BodyTextIndentChar"/>
    <w:uiPriority w:val="99"/>
    <w:semiHidden/>
    <w:rsid w:val="001e7858"/>
    <w:pPr>
      <w:spacing w:before="0" w:after="120"/>
      <w:ind w:left="283" w:hanging="0"/>
    </w:pPr>
    <w:rPr>
      <w:sz w:val="21"/>
      <w:szCs w:val="21"/>
    </w:rPr>
  </w:style>
  <w:style w:type="paragraph" w:styleId="NormalWeb">
    <w:name w:val="Normal (Web)"/>
    <w:basedOn w:val="Normal"/>
    <w:link w:val="NormalWebChar"/>
    <w:uiPriority w:val="99"/>
    <w:qFormat/>
    <w:rsid w:val="001e7858"/>
    <w:pPr>
      <w:widowControl/>
      <w:suppressAutoHyphens w:val="false"/>
      <w:spacing w:beforeAutospacing="1" w:after="119"/>
    </w:pPr>
    <w:rPr>
      <w:rFonts w:cs="Times New Roman"/>
      <w:kern w:val="0"/>
      <w:szCs w:val="20"/>
      <w:lang w:eastAsia="ru-RU" w:bidi="ar-SA"/>
    </w:rPr>
  </w:style>
  <w:style w:type="paragraph" w:styleId="14" w:customStyle="1">
    <w:name w:val="Абзац списка1"/>
    <w:basedOn w:val="Normal"/>
    <w:uiPriority w:val="99"/>
    <w:qFormat/>
    <w:rsid w:val="001e7858"/>
    <w:pPr>
      <w:widowControl/>
      <w:spacing w:before="0" w:after="0"/>
      <w:ind w:left="720" w:hanging="0"/>
      <w:contextualSpacing/>
    </w:pPr>
    <w:rPr>
      <w:rFonts w:eastAsia="SimSun" w:cs="Times New Roman"/>
      <w:kern w:val="0"/>
      <w:lang w:eastAsia="zh-CN" w:bidi="ar-SA"/>
    </w:rPr>
  </w:style>
  <w:style w:type="paragraph" w:styleId="ListParagraph">
    <w:name w:val="List Paragraph"/>
    <w:basedOn w:val="Normal"/>
    <w:uiPriority w:val="99"/>
    <w:qFormat/>
    <w:rsid w:val="001e7858"/>
    <w:pPr>
      <w:widowControl/>
      <w:spacing w:before="0" w:after="0"/>
      <w:ind w:left="720" w:hanging="0"/>
      <w:contextualSpacing/>
    </w:pPr>
    <w:rPr>
      <w:rFonts w:eastAsia="SimSun" w:cs="Times New Roman"/>
      <w:kern w:val="0"/>
      <w:lang w:eastAsia="zh-CN" w:bidi="ar-SA"/>
    </w:rPr>
  </w:style>
  <w:style w:type="paragraph" w:styleId="ListParagraph1" w:customStyle="1">
    <w:name w:val="List Paragraph1"/>
    <w:basedOn w:val="Normal"/>
    <w:uiPriority w:val="99"/>
    <w:qFormat/>
    <w:rsid w:val="001e7858"/>
    <w:pPr>
      <w:widowControl/>
      <w:spacing w:before="0" w:after="0"/>
      <w:ind w:left="720" w:hanging="0"/>
      <w:contextualSpacing/>
    </w:pPr>
    <w:rPr>
      <w:rFonts w:eastAsia="SimSun" w:cs="Times New Roman"/>
      <w:kern w:val="0"/>
      <w:lang w:eastAsia="zh-CN" w:bidi="ar-SA"/>
    </w:rPr>
  </w:style>
  <w:style w:type="paragraph" w:styleId="Style23" w:customStyle="1">
    <w:name w:val="Содержимое таблицы"/>
    <w:basedOn w:val="Normal"/>
    <w:uiPriority w:val="99"/>
    <w:qFormat/>
    <w:rsid w:val="002727f3"/>
    <w:pPr>
      <w:suppressLineNumbers/>
    </w:pPr>
    <w:rPr>
      <w:lang w:eastAsia="zh-CN"/>
    </w:rPr>
  </w:style>
  <w:style w:type="paragraph" w:styleId="PlainText">
    <w:name w:val="Plain Text"/>
    <w:basedOn w:val="Normal"/>
    <w:link w:val="PlainTextChar"/>
    <w:uiPriority w:val="99"/>
    <w:qFormat/>
    <w:rsid w:val="002727f3"/>
    <w:pPr>
      <w:widowControl/>
      <w:suppressAutoHyphens w:val="false"/>
    </w:pPr>
    <w:rPr>
      <w:rFonts w:ascii="Consolas" w:hAnsi="Consolas" w:cs="Times New Roman"/>
      <w:kern w:val="0"/>
      <w:sz w:val="21"/>
      <w:szCs w:val="21"/>
      <w:lang w:eastAsia="ru-RU" w:bidi="ar-SA"/>
    </w:rPr>
  </w:style>
  <w:style w:type="paragraph" w:styleId="2" w:customStyle="1">
    <w:name w:val="Абзац списка2"/>
    <w:basedOn w:val="Normal"/>
    <w:uiPriority w:val="99"/>
    <w:qFormat/>
    <w:rsid w:val="00893e5d"/>
    <w:pPr>
      <w:widowControl/>
      <w:spacing w:lineRule="auto" w:line="252" w:before="0" w:after="160"/>
      <w:ind w:left="720" w:hanging="0"/>
      <w:contextualSpacing/>
    </w:pPr>
    <w:rPr>
      <w:rFonts w:ascii="Calibri" w:hAnsi="Calibri" w:cs="font268"/>
      <w:sz w:val="22"/>
      <w:szCs w:val="22"/>
      <w:lang w:eastAsia="en-US" w:bidi="ar-SA"/>
    </w:rPr>
  </w:style>
  <w:style w:type="paragraph" w:styleId="NoSpacing">
    <w:name w:val="No Spacing"/>
    <w:uiPriority w:val="99"/>
    <w:qFormat/>
    <w:rsid w:val="003b2caf"/>
    <w:pPr>
      <w:widowControl/>
      <w:bidi w:val="0"/>
      <w:jc w:val="left"/>
    </w:pPr>
    <w:rPr>
      <w:rFonts w:ascii="Calibri" w:hAnsi="Calibri" w:eastAsia="Calibri" w:cs="Times New Roman"/>
      <w:color w:val="auto"/>
      <w:kern w:val="0"/>
      <w:sz w:val="24"/>
      <w:szCs w:val="22"/>
      <w:lang w:val="ru-RU" w:eastAsia="en-US" w:bidi="ar-SA"/>
    </w:rPr>
  </w:style>
  <w:style w:type="paragraph" w:styleId="HTMLPreformatted">
    <w:name w:val="HTML Preformatted"/>
    <w:basedOn w:val="Normal"/>
    <w:link w:val="HTMLPreformattedChar"/>
    <w:uiPriority w:val="99"/>
    <w:qFormat/>
    <w:rsid w:val="00a4486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Times New Roman"/>
      <w:kern w:val="0"/>
      <w:sz w:val="20"/>
      <w:szCs w:val="20"/>
      <w:lang w:eastAsia="zh-CN" w:bidi="ar-SA"/>
    </w:rPr>
  </w:style>
  <w:style w:type="paragraph" w:styleId="NoSpacing1" w:customStyle="1">
    <w:name w:val="No Spacing1"/>
    <w:uiPriority w:val="99"/>
    <w:qFormat/>
    <w:rsid w:val="00a44867"/>
    <w:pPr>
      <w:widowControl/>
      <w:suppressAutoHyphens w:val="true"/>
      <w:bidi w:val="0"/>
      <w:jc w:val="left"/>
    </w:pPr>
    <w:rPr>
      <w:rFonts w:ascii="Calibri" w:hAnsi="Calibri" w:eastAsia="Times New Roman" w:cs="Times New Roman"/>
      <w:color w:val="auto"/>
      <w:kern w:val="0"/>
      <w:sz w:val="24"/>
      <w:szCs w:val="22"/>
      <w:lang w:val="ru-RU" w:eastAsia="ar-SA" w:bidi="ar-SA"/>
    </w:rPr>
  </w:style>
  <w:style w:type="paragraph" w:styleId="21" w:customStyle="1">
    <w:name w:val="Основной текст2"/>
    <w:basedOn w:val="Normal"/>
    <w:link w:val="a0"/>
    <w:uiPriority w:val="99"/>
    <w:qFormat/>
    <w:rsid w:val="00691c55"/>
    <w:pPr>
      <w:shd w:val="clear" w:color="auto" w:fill="FFFFFF"/>
      <w:suppressAutoHyphens w:val="false"/>
      <w:spacing w:lineRule="exact" w:line="306"/>
      <w:ind w:hanging="360"/>
    </w:pPr>
    <w:rPr>
      <w:rFonts w:eastAsia="Times New Roman" w:cs="Times New Roman"/>
      <w:spacing w:val="3"/>
      <w:kern w:val="0"/>
      <w:sz w:val="22"/>
      <w:szCs w:val="22"/>
      <w:lang w:eastAsia="ru-RU" w:bidi="ar-SA"/>
    </w:rPr>
  </w:style>
  <w:style w:type="paragraph" w:styleId="5" w:customStyle="1">
    <w:name w:val="Основной текст5"/>
    <w:basedOn w:val="Normal"/>
    <w:uiPriority w:val="99"/>
    <w:qFormat/>
    <w:rsid w:val="00ec3c78"/>
    <w:pPr>
      <w:shd w:val="clear" w:color="auto" w:fill="FFFFFF"/>
      <w:suppressAutoHyphens w:val="false"/>
      <w:spacing w:lineRule="atLeast" w:line="240" w:before="0" w:after="720"/>
      <w:ind w:hanging="340"/>
    </w:pPr>
    <w:rPr>
      <w:rFonts w:eastAsia="Times New Roman" w:cs="Times New Roman"/>
      <w:spacing w:val="5"/>
      <w:kern w:val="0"/>
      <w:sz w:val="22"/>
      <w:szCs w:val="22"/>
      <w:lang w:eastAsia="en-US" w:bidi="ar-SA"/>
    </w:rPr>
  </w:style>
  <w:style w:type="paragraph" w:styleId="32" w:customStyle="1">
    <w:name w:val="Основной текст 32"/>
    <w:basedOn w:val="Normal"/>
    <w:uiPriority w:val="99"/>
    <w:qFormat/>
    <w:rsid w:val="00bf17d1"/>
    <w:pPr>
      <w:widowControl/>
      <w:jc w:val="both"/>
    </w:pPr>
    <w:rPr>
      <w:rFonts w:cs="Times New Roman"/>
      <w:kern w:val="0"/>
      <w:sz w:val="26"/>
      <w:lang w:eastAsia="zh-CN" w:bidi="ar-SA"/>
    </w:rPr>
  </w:style>
  <w:style w:type="paragraph" w:styleId="6" w:customStyle="1">
    <w:name w:val="Основной текст6"/>
    <w:basedOn w:val="Normal"/>
    <w:uiPriority w:val="99"/>
    <w:qFormat/>
    <w:rsid w:val="00816269"/>
    <w:pPr>
      <w:shd w:val="clear" w:color="auto" w:fill="FFFFFF"/>
      <w:suppressAutoHyphens w:val="false"/>
      <w:spacing w:lineRule="exact" w:line="278"/>
      <w:jc w:val="center"/>
    </w:pPr>
    <w:rPr>
      <w:spacing w:val="4"/>
      <w:kern w:val="0"/>
      <w:sz w:val="21"/>
      <w:szCs w:val="21"/>
      <w:shd w:fill="FFFFFF" w:val="clear"/>
      <w:lang w:val="ru-RU" w:eastAsia="ru-RU"/>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74209ABEEE6A637CEE49E4D3E72C789806E278E826DC8800E7BD33CB2DFF50EB9520304E1B08F8CFE29C9A9889A6D0C1D0EFBFC967400FU4c8M" TargetMode="External"/><Relationship Id="rId3" Type="http://schemas.openxmlformats.org/officeDocument/2006/relationships/hyperlink" Target="consultantplus://offline/ref=5774209ABEEE6A637CEE49E4D3E72C789806E278E826DC8800E7BD33CB2DFF50EB9520304E1B08F8CFE29C9A9889A6D0C1D0EFBFC967400FU4c8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Application>LibreOffice/6.0.5.2$Windows_x86 LibreOffice_project/54c8cbb85f300ac59db32fe8a675ff7683cd5a16</Application>
  <Pages>41</Pages>
  <Words>13178</Words>
  <Characters>91453</Characters>
  <CharactersWithSpaces>104403</CharactersWithSpaces>
  <Paragraphs>500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2020-02-11T08:31:00Z</dcterms:created>
  <dc:creator>Семенова</dc:creator>
  <dc:description/>
  <dc:language>ru-RU</dc:language>
  <cp:lastModifiedBy/>
  <cp:lastPrinted>2020-02-25T16:12:46Z</cp:lastPrinted>
  <dcterms:modified xsi:type="dcterms:W3CDTF">2020-02-25T16:15:33Z</dcterms:modified>
  <cp:revision>8</cp:revision>
  <dc:subject/>
  <dc:title>Отчет главы администрации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