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ind w:firstLine="5460" w:left="0" w:right="0"/>
        <w:jc w:val="left"/>
        <w:rPr/>
      </w:pPr>
      <w:r>
        <w:rPr/>
        <w:t>УТВЕРЖДЕНО</w:t>
        <w:tab/>
      </w:r>
    </w:p>
    <w:p>
      <w:pPr>
        <w:pStyle w:val="style0"/>
        <w:widowControl w:val="false"/>
        <w:suppressAutoHyphens w:val="true"/>
        <w:ind w:firstLine="5460" w:left="0" w:right="0"/>
        <w:jc w:val="left"/>
        <w:rPr>
          <w:rStyle w:val="style205"/>
          <w:color w:val="000000"/>
          <w:u w:val="none"/>
        </w:rPr>
      </w:pPr>
      <w:r>
        <w:rPr>
          <w:bCs/>
        </w:rPr>
        <w:t xml:space="preserve">постановлением </w:t>
      </w:r>
      <w:r>
        <w:rPr>
          <w:rStyle w:val="style205"/>
          <w:color w:val="000000"/>
          <w:u w:val="none"/>
        </w:rPr>
        <w:t>администрации</w:t>
      </w:r>
    </w:p>
    <w:p>
      <w:pPr>
        <w:pStyle w:val="style0"/>
        <w:widowControl w:val="false"/>
        <w:suppressAutoHyphens w:val="true"/>
        <w:ind w:firstLine="5460" w:left="0" w:right="0"/>
        <w:jc w:val="left"/>
        <w:rPr>
          <w:rStyle w:val="style205"/>
          <w:color w:val="000000"/>
          <w:u w:val="none"/>
        </w:rPr>
      </w:pPr>
      <w:r>
        <w:rPr>
          <w:rStyle w:val="style205"/>
          <w:color w:val="000000"/>
          <w:u w:val="none"/>
        </w:rPr>
        <w:t>Сланцевского муниципального района</w:t>
      </w:r>
    </w:p>
    <w:p>
      <w:pPr>
        <w:pStyle w:val="style0"/>
        <w:widowControl w:val="false"/>
        <w:suppressAutoHyphens w:val="true"/>
        <w:ind w:firstLine="5460" w:left="0" w:right="0"/>
        <w:jc w:val="left"/>
        <w:rPr>
          <w:rStyle w:val="style205"/>
          <w:color w:val="000000"/>
          <w:u w:val="none"/>
        </w:rPr>
      </w:pPr>
      <w:r>
        <w:rPr>
          <w:rStyle w:val="style205"/>
          <w:color w:val="000000"/>
          <w:u w:val="none"/>
          <w:lang w:val="ru-RU"/>
        </w:rPr>
        <w:t>от 24.10.2014 № 1953-</w:t>
      </w:r>
      <w:r>
        <w:rPr>
          <w:rStyle w:val="style205"/>
          <w:color w:val="000000"/>
          <w:u w:val="none"/>
        </w:rPr>
        <w:t>п</w:t>
      </w:r>
    </w:p>
    <w:p>
      <w:pPr>
        <w:pStyle w:val="style0"/>
        <w:widowControl w:val="false"/>
        <w:suppressAutoHyphens w:val="true"/>
        <w:ind w:firstLine="5460" w:left="0" w:right="0"/>
        <w:jc w:val="left"/>
        <w:rPr>
          <w:rStyle w:val="style205"/>
          <w:color w:val="000000"/>
          <w:u w:val="none"/>
        </w:rPr>
      </w:pPr>
      <w:r>
        <w:rPr>
          <w:rStyle w:val="style205"/>
          <w:color w:val="000000"/>
          <w:u w:val="none"/>
        </w:rPr>
        <w:t>(</w:t>
      </w:r>
      <w:r>
        <w:rPr>
          <w:rStyle w:val="style205"/>
          <w:color w:val="000000"/>
          <w:u w:val="none"/>
        </w:rPr>
        <w:t xml:space="preserve">приложение </w:t>
      </w:r>
      <w:r>
        <w:rPr>
          <w:rStyle w:val="style205"/>
          <w:color w:val="000000"/>
          <w:u w:val="none"/>
        </w:rPr>
        <w:t>3)</w:t>
      </w:r>
      <w:r>
        <w:rPr>
          <w:rStyle w:val="style205"/>
          <w:color w:val="000000"/>
          <w:u w:val="none"/>
        </w:rPr>
        <w:tab/>
      </w:r>
    </w:p>
    <w:p>
      <w:pPr>
        <w:pStyle w:val="style0"/>
        <w:widowControl w:val="false"/>
        <w:suppressAutoHyphens w:val="true"/>
        <w:ind w:firstLine="5460" w:left="0" w:right="0"/>
        <w:jc w:val="left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ПОЛОЖЕНИЕ</w:t>
      </w: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 xml:space="preserve">о порядке предоставления </w:t>
      </w:r>
      <w:bookmarkStart w:id="0" w:name="__DdeLink__14479_1065902330"/>
      <w:r>
        <w:rPr>
          <w:color w:val="000000"/>
        </w:rPr>
        <w:t xml:space="preserve">в 2014 году </w:t>
      </w:r>
      <w:bookmarkEnd w:id="0"/>
      <w:r>
        <w:rPr>
          <w:color w:val="000000"/>
        </w:rPr>
        <w:t xml:space="preserve">субсидий субъектам малого и среднего </w:t>
      </w: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предпринима</w:t>
        <w:softHyphen/>
        <w:t>тельства для компенсации части затрат, связанных с приобретением оборудования</w:t>
      </w:r>
    </w:p>
    <w:p>
      <w:pPr>
        <w:pStyle w:val="style0"/>
        <w:jc w:val="center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1. Общие положения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color w:val="000000"/>
        </w:rPr>
      </w:pPr>
      <w:r>
        <w:rPr/>
        <w:t xml:space="preserve">1.1. </w:t>
      </w:r>
      <w:r>
        <w:rPr>
          <w:color w:val="000000"/>
        </w:rPr>
        <w:t>В настоящем Положении используются следующие основные понятия:</w:t>
      </w:r>
    </w:p>
    <w:p>
      <w:pPr>
        <w:pStyle w:val="style0"/>
        <w:ind w:firstLine="709" w:left="0" w:right="0"/>
        <w:rPr>
          <w:bCs/>
        </w:rPr>
      </w:pPr>
      <w:r>
        <w:rPr>
          <w:bCs/>
        </w:rPr>
        <w:t>Термины «субъекты малого и среднего предпринимательства», «приоритетные для Сланцев</w:t>
        <w:softHyphen/>
        <w:t>ского городского поселения виды (сферы) деятельности (развития малого и среднего пред</w:t>
        <w:softHyphen/>
        <w:t>принимательства)» применяются в соответствии с определениями, приведенными в муниципаль</w:t>
        <w:softHyphen/>
        <w:t>ной  программе "Развитие и поддержка малого и среднего предприниматель</w:t>
        <w:softHyphen/>
        <w:t>ства в Сланцевском го</w:t>
        <w:softHyphen/>
        <w:t xml:space="preserve">родском поселении на 2014 – 2015 годы", утвержденной </w:t>
      </w:r>
      <w:r>
        <w:rPr>
          <w:bCs/>
          <w:color w:val="000000"/>
        </w:rPr>
        <w:t>постановлением администрации Сланцев</w:t>
        <w:softHyphen/>
        <w:t xml:space="preserve">ского муниципального района от 05.05.2014 № 823-п </w:t>
      </w:r>
      <w:r>
        <w:rPr>
          <w:bCs/>
        </w:rPr>
        <w:t>(далее – Программа).</w:t>
      </w:r>
    </w:p>
    <w:p>
      <w:pPr>
        <w:pStyle w:val="style0"/>
        <w:ind w:firstLine="567" w:left="0" w:right="0"/>
        <w:rPr/>
      </w:pPr>
      <w:r>
        <w:rPr/>
        <w:t xml:space="preserve">субсидия – средства, предоставляемые </w:t>
      </w:r>
      <w:r>
        <w:rPr>
          <w:color w:val="000000"/>
        </w:rPr>
        <w:t>субъектам малого и среднего предпринимательства</w:t>
      </w:r>
      <w:r>
        <w:rPr/>
        <w:t xml:space="preserve"> в соответствии с подпунктом 1.1.3 Плана реализации мероприятий Программы </w:t>
      </w:r>
      <w:r>
        <w:rPr>
          <w:color w:val="000000"/>
        </w:rPr>
        <w:t>для компенсации ча</w:t>
        <w:softHyphen/>
        <w:t>сти затрат, связанных с приобретением оборудования в целях создания и (или) развития, и (или) модернизации производства товаров (далее – субсидия)</w:t>
      </w:r>
      <w:r>
        <w:rPr/>
        <w:t>;</w:t>
      </w:r>
    </w:p>
    <w:p>
      <w:pPr>
        <w:pStyle w:val="style0"/>
        <w:ind w:firstLine="567" w:left="0" w:right="0"/>
        <w:rPr/>
      </w:pPr>
      <w:r>
        <w:rPr/>
        <w:t>конкурсная комиссия – комиссия, формируемая администрацией муниципального образова</w:t>
        <w:softHyphen/>
        <w:t>ния Сланцевский муниципальный район Ленинградской области (далее по тексту – администра</w:t>
        <w:softHyphen/>
        <w:t>ция) из сотрудников администрации с привлечением представителей (по согласованию) региональ</w:t>
        <w:softHyphen/>
        <w:t>ных отделений общероссийских объединений предприни</w:t>
        <w:softHyphen/>
        <w:t xml:space="preserve">мателей, совета депутатов Сланцевского городского поселения, </w:t>
      </w:r>
      <w:r>
        <w:rPr>
          <w:color w:val="000000"/>
        </w:rPr>
        <w:t>некоммерческих организаций предпринимателей Сланцевского городского поселения, Фонда поддержки малого и среднего предпринимательства муниципального образова</w:t>
        <w:softHyphen/>
        <w:t>ния Сланцевский муниципальный район Ленинградской области "Социально-деловой центр" (да</w:t>
        <w:softHyphen/>
        <w:t>лее – Фонд «Социально-деловой центр»)</w:t>
      </w:r>
      <w:r>
        <w:rPr/>
        <w:t>;</w:t>
      </w:r>
    </w:p>
    <w:p>
      <w:pPr>
        <w:pStyle w:val="style228"/>
        <w:ind w:firstLine="54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основной вид экономической деятельности – вид деятельности хозяйствующего собъекта (ин</w:t>
        <w:softHyphen/>
        <w:t>дивидуального предпринимателя, коммерческой организации), который по итогам последнего от</w:t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>
      <w:pPr>
        <w:pStyle w:val="style0"/>
        <w:ind w:firstLine="567" w:left="0" w:right="0"/>
        <w:rPr/>
      </w:pPr>
      <w:r>
        <w:rPr/>
        <w:t>договор – соглашение об условиях и порядке предоставления субсидии, заключённый в теку</w:t>
        <w:softHyphen/>
        <w:t>щем финансовом году между администрацией и соискателем, прошедшим конкурсный отбор;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 xml:space="preserve">оборудование – </w:t>
      </w:r>
      <w:r>
        <w:rPr>
          <w:rFonts w:cs="Times New Roman"/>
          <w:bCs/>
        </w:rPr>
        <w:t xml:space="preserve">машины, станки, приборы, аппараты, агрегаты, установки, </w:t>
      </w:r>
      <w:r>
        <w:rPr>
          <w:rFonts w:cs="Times New Roman" w:eastAsia="SimSun;宋体"/>
          <w:bCs/>
          <w:lang w:eastAsia="hi-IN"/>
        </w:rPr>
        <w:t>устройства, механ</w:t>
        <w:softHyphen/>
        <w:t>измы, транспортные средства (за исключением легковых автомобилей, механических транс</w:t>
        <w:softHyphen/>
        <w:t xml:space="preserve">портных средств категории </w:t>
      </w:r>
      <w:r>
        <w:rPr>
          <w:rFonts w:cs="Times New Roman" w:eastAsia="SimSun;宋体"/>
          <w:bCs/>
          <w:lang w:eastAsia="hi-IN" w:val="en-US"/>
        </w:rPr>
        <w:t>L</w:t>
      </w:r>
      <w:r>
        <w:rPr>
          <w:rFonts w:cs="Times New Roman" w:eastAsia="SimSun;宋体"/>
          <w:bCs/>
          <w:lang w:eastAsia="hi-IN"/>
        </w:rPr>
        <w:t xml:space="preserve"> и воздушных судов)</w:t>
      </w:r>
      <w:r>
        <w:rPr>
          <w:rFonts w:cs="Times New Roman"/>
        </w:rPr>
        <w:t>, относящихся ко второй и выше амортизацион</w:t>
        <w:softHyphen/>
        <w:t>ным группам Классификации основных средств, включаемых в амортизационные группы, утвер</w:t>
        <w:softHyphen/>
        <w:t>жденной постановлением Правительства Российской Федерации от 1 января 2002 г. N 1 "О класси</w:t>
        <w:softHyphen/>
        <w:t>фикации основных средств, включаемых в амортизационные группы";</w:t>
      </w:r>
    </w:p>
    <w:p>
      <w:pPr>
        <w:pStyle w:val="style0"/>
        <w:ind w:firstLine="567" w:left="0" w:right="0"/>
        <w:rPr/>
      </w:pPr>
      <w:r>
        <w:rPr/>
        <w:t>коэффициент обеспечения заявок (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/>
        <w:t>) – отношение размера средств (бюджетных ассигнований), предусмотренных Программой на представление финансовой поддержки данного вида в текущем финансовом году, к сумме средств, запрашиваемых участниками конкурса в поданных ими конкурсных заявках.</w:t>
      </w:r>
    </w:p>
    <w:p>
      <w:pPr>
        <w:pStyle w:val="style0"/>
        <w:ind w:firstLine="567" w:left="0" w:right="0"/>
        <w:rPr/>
      </w:pPr>
      <w:r>
        <w:rPr/>
        <w:t>Коэффициент обеспечения заявок определяется по формуле (1):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lang w:val="en-US"/>
        </w:rPr>
        <w:t>k</w:t>
      </w:r>
      <w:r>
        <w:rPr>
          <w:vertAlign w:val="subscript"/>
        </w:rPr>
        <w:t>оз</w:t>
      </w:r>
      <w:r>
        <w:rPr/>
        <w:t xml:space="preserve"> = </w:t>
      </w:r>
      <w:r>
        <w:rPr>
          <w:lang w:val="en-US"/>
        </w:rPr>
        <w:t>S</w:t>
      </w:r>
      <w:r>
        <w:rPr>
          <w:vertAlign w:val="subscript"/>
        </w:rPr>
        <w:t>прогр.</w:t>
      </w:r>
      <w:r>
        <w:rPr/>
        <w:t>/</w:t>
      </w:r>
      <w:r>
        <w:rPr>
          <w:rFonts w:cs="Times New Roman"/>
          <w:lang w:val="en-US"/>
        </w:rPr>
        <w:t>ΣS</w:t>
      </w:r>
      <w:r>
        <w:rPr>
          <w:vertAlign w:val="subscript"/>
          <w:lang w:val="en-US"/>
        </w:rPr>
        <w:t>i</w:t>
      </w:r>
      <w:r>
        <w:rPr>
          <w:rFonts w:cs="Times New Roman"/>
        </w:rPr>
        <w:t>,</w:t>
        <w:tab/>
        <w:tab/>
        <w:tab/>
        <w:tab/>
        <w:tab/>
        <w:tab/>
        <w:tab/>
        <w:tab/>
        <w:tab/>
        <w:tab/>
        <w:tab/>
        <w:t>(1)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где: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k</w:t>
      </w:r>
      <w:r>
        <w:rPr>
          <w:rFonts w:cs="Times New Roman"/>
          <w:vertAlign w:val="subscript"/>
        </w:rPr>
        <w:t>оз</w:t>
      </w:r>
      <w:r>
        <w:rPr>
          <w:rFonts w:cs="Times New Roman"/>
        </w:rPr>
        <w:t xml:space="preserve"> – коэффициент обеспечения заявок;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  <w:sz w:val="28"/>
          <w:szCs w:val="28"/>
          <w:vertAlign w:val="subscript"/>
        </w:rPr>
        <w:t>прогр.</w:t>
      </w:r>
      <w:r>
        <w:rPr>
          <w:rFonts w:cs="Times New Roman"/>
        </w:rPr>
        <w:t xml:space="preserve"> – размер нераспределенных средств (бюджетных ассигнований), предусмотренных Программой на представление финансовой поддержки данного вида, руб.;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ΣS</w:t>
      </w:r>
      <w:r>
        <w:rPr>
          <w:sz w:val="28"/>
          <w:szCs w:val="28"/>
          <w:vertAlign w:val="subscript"/>
          <w:lang w:val="en-US"/>
        </w:rPr>
        <w:t>i</w:t>
      </w:r>
      <w:r>
        <w:rPr>
          <w:rFonts w:cs="Times New Roman"/>
        </w:rPr>
        <w:t xml:space="preserve"> – сумма средств, запрашиваемых участниками конкурса в поданных ими конкурсных заявках, руб.;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 xml:space="preserve">средний размер заявки </w:t>
      </w:r>
      <w:r>
        <w:rPr>
          <w:rFonts w:cs="Times New Roman" w:eastAsia="Times New Roman"/>
        </w:rPr>
        <w:t>–</w:t>
      </w:r>
      <w:r>
        <w:rPr>
          <w:rFonts w:cs="Times New Roman"/>
        </w:rPr>
        <w:t xml:space="preserve"> средний размер субсидии, запрашиваемый одним участником кон</w:t>
        <w:softHyphen/>
        <w:t xml:space="preserve">курса,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>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Средний размер заявки определяется по формуле (2):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 =</w:t>
      </w:r>
      <w:r>
        <w:rPr>
          <w:rFonts w:cs="Times New Roman" w:eastAsia="Times New Roman"/>
        </w:rPr>
        <w:t xml:space="preserve"> </w:t>
      </w:r>
      <w:r>
        <w:rPr>
          <w:rFonts w:cs="Times New Roman"/>
          <w:lang w:val="en-US"/>
        </w:rPr>
        <w:t>ΣS</w:t>
      </w:r>
      <w:r>
        <w:rPr>
          <w:rFonts w:cs="Times New Roman"/>
          <w:sz w:val="28"/>
          <w:szCs w:val="28"/>
          <w:vertAlign w:val="subscript"/>
          <w:lang w:val="en-US"/>
        </w:rPr>
        <w:t>i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>, руб./ед.,</w:t>
        <w:tab/>
        <w:tab/>
        <w:tab/>
        <w:tab/>
        <w:tab/>
        <w:tab/>
        <w:tab/>
        <w:tab/>
        <w:tab/>
        <w:tab/>
        <w:t>(2)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где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 – средний размер заявки, руб./ед.;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ΣS</w:t>
      </w:r>
      <w:r>
        <w:rPr>
          <w:rFonts w:cs="Times New Roman"/>
          <w:sz w:val="28"/>
          <w:szCs w:val="28"/>
          <w:vertAlign w:val="subscript"/>
          <w:lang w:val="en-US"/>
        </w:rPr>
        <w:t>i</w:t>
      </w:r>
      <w:r>
        <w:rPr>
          <w:rFonts w:cs="Times New Roman"/>
        </w:rPr>
        <w:t xml:space="preserve"> – сумма средств, запрашиваемых участниками конкурса в поданных ими конкурсных заявках, руб.;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– количество заявок участников конкурса (соискателей, допущенных к участию в конкурсе), ед.</w:t>
      </w:r>
    </w:p>
    <w:p>
      <w:pPr>
        <w:pStyle w:val="style227"/>
        <w:widowControl/>
        <w:ind w:firstLine="567" w:left="0" w:right="0"/>
        <w:rPr/>
      </w:pPr>
      <w:r>
        <w:rPr/>
      </w:r>
    </w:p>
    <w:p>
      <w:pPr>
        <w:pStyle w:val="style227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в настоящем Положении иные понятия и термины гражданского и других от</w:t>
        <w:softHyphen/>
        <w:t>раслей законодательства Российской Федерации применяются в том значении, в каком они исполь</w:t>
        <w:softHyphen/>
        <w:t>зуются в этих отраслях законодательства Российской Федерации.</w:t>
      </w:r>
    </w:p>
    <w:p>
      <w:pPr>
        <w:pStyle w:val="style0"/>
        <w:ind w:firstLine="567" w:left="0" w:right="0"/>
        <w:jc w:val="both"/>
        <w:rPr/>
      </w:pPr>
      <w:r>
        <w:rPr/>
        <w:t>1.2. Субсидии предоставляются победителям конкурсного отбора (конкурса).</w:t>
      </w:r>
    </w:p>
    <w:p>
      <w:pPr>
        <w:pStyle w:val="style0"/>
        <w:ind w:firstLine="567" w:left="0" w:right="0"/>
        <w:rPr/>
      </w:pPr>
      <w:r>
        <w:rPr/>
        <w:t xml:space="preserve">1.3. Конкурс на предоставление субсидий </w:t>
      </w:r>
      <w:r>
        <w:rPr>
          <w:color w:val="000000"/>
        </w:rPr>
        <w:t>субъектам малого и среднего предпринимательства в целях возмещения части затрат</w:t>
      </w:r>
      <w:r>
        <w:rPr/>
        <w:t xml:space="preserve">, </w:t>
      </w:r>
      <w:r>
        <w:rPr>
          <w:color w:val="000000"/>
        </w:rPr>
        <w:t xml:space="preserve">связанных с приобретением оборудования в целях создания и (или) развития, и (или) модернизации производства товаров </w:t>
      </w:r>
      <w:r>
        <w:rPr/>
        <w:t>(далее – конкурс), проводится в целях и в рамках реализации Программы.</w:t>
      </w:r>
    </w:p>
    <w:p>
      <w:pPr>
        <w:pStyle w:val="style0"/>
        <w:ind w:firstLine="567" w:left="0" w:right="0"/>
        <w:rPr/>
      </w:pPr>
      <w:r>
        <w:rPr/>
        <w:t>1.4. Организатором конкурса является администрация Сланцевского муниципального района.</w:t>
      </w:r>
    </w:p>
    <w:p>
      <w:pPr>
        <w:pStyle w:val="style0"/>
        <w:ind w:firstLine="567" w:left="0" w:right="0"/>
        <w:rPr/>
      </w:pPr>
      <w:r>
        <w:rPr/>
        <w:t>1.5. Целью конкурса является определение получателей субсидий.</w:t>
      </w:r>
    </w:p>
    <w:p>
      <w:pPr>
        <w:pStyle w:val="style0"/>
        <w:ind w:firstLine="567" w:left="0" w:right="0"/>
        <w:rPr/>
      </w:pPr>
      <w:r>
        <w:rPr/>
        <w:t>1.6. К участию в конкурсе допускаются подавшие заявку субъекты малого и среднего пред</w:t>
        <w:softHyphen/>
        <w:t>принимательства (соискатели), удовлетворяющие следующим требованиям:</w:t>
      </w:r>
    </w:p>
    <w:p>
      <w:pPr>
        <w:pStyle w:val="style0"/>
        <w:ind w:firstLine="567" w:left="0" w:right="0"/>
        <w:rPr/>
      </w:pPr>
      <w:r>
        <w:rPr/>
        <w:t>- местом нахождения (местом жительства — для физических лиц) соискателя является город Сланцы или иные населенные пункты, входящие в состав Сланцевского городского поселения. При этом местом осу</w:t>
        <w:softHyphen/>
        <w:t>ществления предпринимательской деятельности соискателя должна являться террито</w:t>
        <w:softHyphen/>
        <w:t>рия Сланцев</w:t>
        <w:softHyphen/>
        <w:t>ского городского поселения, а при условии, что количество вновь созданных рабочих мест, на ко</w:t>
        <w:softHyphen/>
        <w:t>торых будут заняты жители Сланцевского городского поселе</w:t>
        <w:softHyphen/>
        <w:t>ния, составит не нем менее чем две трети общего количества новых рабочих мест, ― и иная терри</w:t>
        <w:softHyphen/>
        <w:t>тория Сланцев</w:t>
        <w:softHyphen/>
        <w:t>ского муни</w:t>
        <w:softHyphen/>
        <w:t>ципального района.</w:t>
      </w:r>
    </w:p>
    <w:p>
      <w:pPr>
        <w:pStyle w:val="style0"/>
        <w:ind w:firstLine="567" w:left="0" w:right="0"/>
        <w:rPr/>
      </w:pPr>
      <w:r>
        <w:rPr/>
        <w:t>- у соискателя отсутствует просроченная задолженность по налоговым и иным обязательным платежам в бюджетную систему Российской Федерации;</w:t>
      </w:r>
    </w:p>
    <w:p>
      <w:pPr>
        <w:pStyle w:val="style0"/>
        <w:ind w:firstLine="567" w:left="0" w:right="0"/>
        <w:rPr/>
      </w:pPr>
      <w:r>
        <w:rPr/>
        <w:t>- размер выплачиваемой с начала текущего года средней месячной заработной платы каждого штатного работника соискателя не ниже величины прожиточного ми</w:t>
        <w:softHyphen/>
        <w:t>нимума для трудоспособного населения в Ленинградской области.</w:t>
      </w:r>
    </w:p>
    <w:p>
      <w:pPr>
        <w:pStyle w:val="style0"/>
        <w:ind w:firstLine="567" w:left="0" w:right="0"/>
        <w:rPr/>
      </w:pPr>
      <w:r>
        <w:rPr/>
        <w:t>1.7. Субсидирование части затрат субъектов малого и среднего предпринимательства, про</w:t>
        <w:softHyphen/>
        <w:t>шедших конкурсный отбор, осуществляется счёт средств бюджета Ленинградской области, в том числе поступающих в бюджет Ленинградской области из средств федерально</w:t>
        <w:softHyphen/>
        <w:t>го бюджета, в преде</w:t>
        <w:softHyphen/>
        <w:t>лах объёма, предусмотренного подпунктом 1.1.3 Плана реализации мероприятий Программы.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2. Цели предоставления субсидий</w:t>
      </w:r>
    </w:p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ind w:firstLine="567" w:left="0" w:right="0"/>
        <w:rPr>
          <w:color w:val="000000"/>
        </w:rPr>
      </w:pPr>
      <w:r>
        <w:rPr/>
        <w:t xml:space="preserve">2.1. Субсидии предоставляются для компенсации </w:t>
      </w:r>
      <w:r>
        <w:rPr>
          <w:color w:val="000000"/>
        </w:rPr>
        <w:t>части затрат, связанных с приобретением оборудования в целях создания и (или) развития, и (или) модернизации производства товаров.</w:t>
      </w:r>
    </w:p>
    <w:p>
      <w:pPr>
        <w:pStyle w:val="style0"/>
        <w:ind w:firstLine="567" w:left="0" w:right="0"/>
        <w:rPr/>
      </w:pPr>
      <w:r>
        <w:rPr/>
        <w:t>2.2.</w:t>
      </w:r>
      <w:r>
        <w:rPr>
          <w:color w:val="0000FF"/>
        </w:rPr>
        <w:t xml:space="preserve"> </w:t>
      </w:r>
      <w:r>
        <w:rPr/>
        <w:t>Субсидии, указанные в пункте 2.1 настоящего Положения, не предназначены для компен</w:t>
        <w:softHyphen/>
        <w:t>сации средств, затраченных на приобретение:</w:t>
      </w:r>
    </w:p>
    <w:p>
      <w:pPr>
        <w:pStyle w:val="style0"/>
        <w:ind w:firstLine="567" w:left="0" w:right="0"/>
        <w:rPr/>
      </w:pPr>
      <w:r>
        <w:rPr/>
        <w:t>а) недвижимости и оборудования, предназначенного для оснащения административных и бы</w:t>
        <w:softHyphen/>
        <w:t>товых зданий и помещений, и иного оборудования, не используемого в производственных процес</w:t>
        <w:softHyphen/>
        <w:t>сах;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 xml:space="preserve">б) </w:t>
      </w:r>
      <w:r>
        <w:rPr/>
        <w:t>устройств, механизмов, станков, приборов, аппаратов, агрегатов, устройств, установок, ма</w:t>
        <w:softHyphen/>
        <w:t xml:space="preserve">шин, иного оборудования, используемых для </w:t>
      </w:r>
      <w:r>
        <w:rPr>
          <w:shd w:fill="FFFFFF" w:val="clear"/>
        </w:rPr>
        <w:t xml:space="preserve">оказания услуг, выполнения работ, в том числе </w:t>
      </w:r>
      <w:r>
        <w:rPr>
          <w:rFonts w:cs="Times New Roman"/>
          <w:shd w:fill="FFFFFF" w:val="clear"/>
        </w:rPr>
        <w:t>обору</w:t>
        <w:softHyphen/>
        <w:t>дования, предназначенного для осуществления оптовой и розничной торговой деятельности</w:t>
      </w:r>
      <w:r>
        <w:rPr>
          <w:shd w:fill="FFFFFF" w:val="clear"/>
        </w:rPr>
        <w:t>.</w:t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jc w:val="both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3. Условия предоставления субсидий</w:t>
      </w:r>
    </w:p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3.1. Субсидии, указанные в разделе 2 настоящего положения,</w:t>
      </w:r>
      <w:r>
        <w:rPr>
          <w:color w:val="0000FF"/>
        </w:rPr>
        <w:t xml:space="preserve"> </w:t>
      </w:r>
      <w:r>
        <w:rPr/>
        <w:t>предоставляются соискателям, прошедшим конкурсный отбор (победите</w:t>
        <w:softHyphen/>
        <w:t>лям конкурса) из расчёта не более 50 процентов затрат, произведённых в срок не более одного года до момента подачи заявки, при этом размер субсидии не может превышать 10 млн. рублей на одно</w:t>
        <w:softHyphen/>
        <w:t>го получателя поддержки.</w:t>
      </w:r>
    </w:p>
    <w:p>
      <w:pPr>
        <w:pStyle w:val="style0"/>
        <w:ind w:firstLine="567" w:left="0" w:right="0"/>
        <w:rPr>
          <w:rFonts w:cs="Times New Roman" w:eastAsia="Times New Roman"/>
        </w:rPr>
      </w:pPr>
      <w:r>
        <w:rPr/>
        <w:t>3.2. Субсидии, указанные в разделе 2 настоящего Положения,</w:t>
      </w:r>
      <w:r>
        <w:rPr>
          <w:color w:val="0000FF"/>
        </w:rPr>
        <w:t xml:space="preserve"> </w:t>
      </w:r>
      <w:r>
        <w:rPr>
          <w:rFonts w:cs="Times New Roman"/>
        </w:rPr>
        <w:t xml:space="preserve">преимущественно </w:t>
      </w:r>
      <w:r>
        <w:rPr/>
        <w:t>предостав</w:t>
        <w:softHyphen/>
        <w:t>ляются</w:t>
      </w:r>
      <w:r>
        <w:rPr>
          <w:rFonts w:cs="Times New Roman"/>
        </w:rPr>
        <w:t xml:space="preserve"> как правило </w:t>
      </w:r>
      <w:r>
        <w:rPr>
          <w:rFonts w:cs="Times New Roman" w:eastAsia="Times New Roman"/>
        </w:rPr>
        <w:t>по одному договору купли-продажи оборудования (по выбору соискателя).</w:t>
      </w:r>
    </w:p>
    <w:p>
      <w:pPr>
        <w:pStyle w:val="style0"/>
        <w:ind w:firstLine="567" w:left="0" w:right="0"/>
        <w:rPr>
          <w:rFonts w:cs="Times New Roman" w:eastAsia="Times New Roman"/>
        </w:rPr>
      </w:pPr>
      <w:r>
        <w:rPr>
          <w:rFonts w:cs="Times New Roman" w:eastAsia="Times New Roman"/>
        </w:rPr>
        <w:t>3.3.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приобретением оборудо</w:t>
        <w:softHyphen/>
        <w:t>вания, по второму договору купли-продажи оборудования (и последующим договорам), с учетом ограниче</w:t>
        <w:softHyphen/>
        <w:t>ний, установленных пунктом 3.1 и 3.5 настоящего Положения.</w:t>
      </w:r>
    </w:p>
    <w:p>
      <w:pPr>
        <w:pStyle w:val="style0"/>
        <w:ind w:firstLine="567" w:left="0" w:right="0"/>
        <w:rPr/>
      </w:pPr>
      <w:r>
        <w:rPr>
          <w:color w:val="000000"/>
        </w:rPr>
        <w:t>3.4. Субсидии не могут быть предоставлены, если финансовая поддержка на компенсацию за</w:t>
        <w:softHyphen/>
        <w:t>трат, указанных в заявке соискателя, уже оказывалась из средств бюджетов Ленинградской обла</w:t>
        <w:softHyphen/>
        <w:t>сти, Сланцевского муниципального района</w:t>
      </w:r>
      <w:r>
        <w:rPr/>
        <w:t xml:space="preserve"> и(или) Сланцев</w:t>
        <w:softHyphen/>
        <w:t>ского городского поселения</w:t>
      </w:r>
      <w:r>
        <w:rPr>
          <w:color w:val="000000"/>
        </w:rPr>
        <w:t>, в том чис</w:t>
        <w:softHyphen/>
        <w:t xml:space="preserve">ле в рамках других государственных (муниципальных) программ, </w:t>
      </w:r>
      <w:r>
        <w:rPr/>
        <w:t xml:space="preserve">и при этом эти затраты соискателя </w:t>
      </w:r>
      <w:r>
        <w:rPr>
          <w:color w:val="000000"/>
        </w:rPr>
        <w:t xml:space="preserve">на предусмотренные разделом 2 настоящего Положения цели были </w:t>
      </w:r>
      <w:r>
        <w:rPr/>
        <w:t>компенсированы в полном объеме.</w:t>
      </w:r>
    </w:p>
    <w:p>
      <w:pPr>
        <w:pStyle w:val="style227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Допускается дополнительное предоставление субсидии для компенсации затрат, подтвер</w:t>
        <w:softHyphen/>
        <w:t xml:space="preserve">жденных одними и теми же платежными документами и компенсированных ранее </w:t>
      </w:r>
      <w:r>
        <w:rPr>
          <w:rFonts w:ascii="Times New Roman" w:cs="Times New Roman" w:hAnsi="Times New Roman"/>
          <w:color w:val="000000"/>
          <w:sz w:val="24"/>
          <w:szCs w:val="24"/>
        </w:rPr>
        <w:t>из средств бюд</w:t>
        <w:softHyphen/>
        <w:t>жетов Ленинградской области, Сланцевского муниципального района и(или) Сланцевского го</w:t>
        <w:softHyphen/>
        <w:t xml:space="preserve">родского поселения </w:t>
      </w:r>
      <w:r>
        <w:rPr>
          <w:rFonts w:ascii="Times New Roman" w:cs="Times New Roman" w:hAnsi="Times New Roman"/>
          <w:sz w:val="24"/>
          <w:szCs w:val="24"/>
        </w:rPr>
        <w:t>не в полном объеме (с учетом предельного размера субсидий, установленного в пункте 3.1 настоящего Положения).</w:t>
      </w:r>
    </w:p>
    <w:p>
      <w:pPr>
        <w:pStyle w:val="style0"/>
        <w:ind w:firstLine="567" w:left="0" w:right="0"/>
        <w:rPr/>
      </w:pPr>
      <w:r>
        <w:rPr/>
        <w:t>3.5. Повторное оказание аналогичной (совпадающей по форме, виду, срокам) поддержки в течение текущего финансового года в отношении одного и того же субъекта малого и среднего предпринимательства не допускается.</w:t>
      </w:r>
    </w:p>
    <w:p>
      <w:pPr>
        <w:pStyle w:val="style0"/>
        <w:ind w:firstLine="567" w:left="0" w:right="0"/>
        <w:rPr/>
      </w:pPr>
      <w:r>
        <w:rPr/>
        <w:t>3.6. В случае нарушения условий, установленных при предоставлении субсидии, возврат суб</w:t>
        <w:softHyphen/>
        <w:t>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нарушений. Если по истечении ука</w:t>
        <w:softHyphen/>
        <w:t>занного срока получатель субсидии отказы</w:t>
        <w:softHyphen/>
        <w:t>вается, взыскание денежных средств осуществляется в судебном в рамках исполнительного производства.</w:t>
      </w:r>
    </w:p>
    <w:p>
      <w:pPr>
        <w:pStyle w:val="style0"/>
        <w:ind w:firstLine="567" w:left="0" w:right="0"/>
        <w:rPr/>
      </w:pPr>
      <w:r>
        <w:rPr/>
        <w:t>3.7. Главный распорядитель бюджетных средств, предоставляющий субсидию, и орган муни</w:t>
        <w:softHyphen/>
        <w:t>ципального финансового контроля Сланцевского муниципального района осуществляют обяза</w:t>
        <w:softHyphen/>
        <w:t>тельную проверку соблюдения получателями субсидий условий, целей и порядка предоставления указанных субсидий.</w:t>
      </w:r>
    </w:p>
    <w:p>
      <w:pPr>
        <w:pStyle w:val="style0"/>
        <w:ind w:firstLine="567" w:left="0" w:right="0"/>
        <w:rPr/>
      </w:pPr>
      <w:r>
        <w:rPr/>
        <w:t>Случаи и сроки (периодичность) проведения проверок указываются в договоре, заключаемо</w:t>
        <w:softHyphen/>
        <w:t>го между главным распорядителем бюджетных средств и получателем субсидии.</w:t>
      </w:r>
    </w:p>
    <w:p>
      <w:pPr>
        <w:pStyle w:val="style0"/>
        <w:ind w:firstLine="567" w:left="0" w:right="0"/>
        <w:rPr/>
      </w:pPr>
      <w:r>
        <w:rPr/>
        <w:t xml:space="preserve">3.8. При прекращении получателем субсидии производственной деятельности того вида (производства того вида товаров), на </w:t>
      </w:r>
      <w:r>
        <w:rPr>
          <w:color w:val="000000"/>
        </w:rPr>
        <w:t>создание, развитие или модернизацию которого была предо</w:t>
        <w:softHyphen/>
        <w:t>ставлена субсидия,</w:t>
      </w:r>
      <w:r>
        <w:rPr/>
        <w:t xml:space="preserve"> до истечения дву</w:t>
      </w:r>
      <w:r>
        <w:rPr>
          <w:shd w:fill="FFFFFF" w:val="clear"/>
        </w:rPr>
        <w:t>х</w:t>
      </w:r>
      <w:r>
        <w:rPr/>
        <w:t>летнего срока с момента ее предоставления, или отсутствия финансово-хозяйственной деятельности получателя субсидии более шести месяцев с момента по</w:t>
        <w:softHyphen/>
        <w:t>лучения субсидии, получатель субсидии обязан в добро</w:t>
        <w:softHyphen/>
        <w:t>вольном порядке возвратить субсидию в бюджет Сланцевского городского поселения в месячный срок с момента выявления указанного факта. Если по истечении ука</w:t>
        <w:softHyphen/>
        <w:t>занного срока получатель субсидии отказывается добровольно воз</w:t>
        <w:softHyphen/>
        <w:t>вращать субсидию, взыскание денежных средств осуществляется в судебном порядке в рамках ис</w:t>
        <w:softHyphen/>
        <w:t>полнительного производства.</w:t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4. Организация, подготовка и порядок проведения конкурса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4.1. Администрация формирует комиссию в составе, указанном в п. 1.1 настоящего Положе</w:t>
        <w:softHyphen/>
        <w:t>ния.</w:t>
      </w:r>
    </w:p>
    <w:p>
      <w:pPr>
        <w:pStyle w:val="style0"/>
        <w:ind w:firstLine="567" w:left="0" w:right="0"/>
        <w:rPr/>
      </w:pPr>
      <w:r>
        <w:rPr/>
        <w:t xml:space="preserve">4.2. </w:t>
      </w:r>
      <w:r>
        <w:rPr>
          <w:color w:val="000000"/>
        </w:rPr>
        <w:t>Для участия в конкурсе соискатели,</w:t>
      </w:r>
      <w:r>
        <w:rPr/>
        <w:t xml:space="preserve"> претендующие на получение субсидии в соответ</w:t>
        <w:softHyphen/>
        <w:t>ствии с п. 2.1 настоящего Положения, представляют не позже 15 декабря текущего года в конкурс</w:t>
        <w:softHyphen/>
        <w:t>ную комиссию следующие документы:</w:t>
      </w:r>
    </w:p>
    <w:p>
      <w:pPr>
        <w:pStyle w:val="style0"/>
        <w:ind w:firstLine="720" w:left="0" w:right="0"/>
        <w:rPr/>
      </w:pPr>
      <w:r>
        <w:rPr/>
        <w:t>- заявление на участие в конкурсе по форме согласно приложению № 1 к настоящему Поло</w:t>
        <w:softHyphen/>
        <w:t xml:space="preserve">жению с приложением, содержащим </w:t>
      </w:r>
      <w:r>
        <w:rPr>
          <w:color w:val="000000"/>
        </w:rPr>
        <w:t>све</w:t>
        <w:softHyphen/>
        <w:t>дения о</w:t>
      </w:r>
      <w:r>
        <w:rPr>
          <w:bCs/>
          <w:color w:val="000000"/>
        </w:rPr>
        <w:t xml:space="preserve"> соискателе и о его хозяйственной деятельности</w:t>
      </w:r>
      <w:r>
        <w:rPr/>
        <w:t>;</w:t>
      </w:r>
    </w:p>
    <w:p>
      <w:pPr>
        <w:pStyle w:val="style228"/>
        <w:ind w:firstLine="72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технико-экономическое обоснование (бизнес-план) приобретения оборудования в целях создания и (или) развития, и (или) модернизации производства товаров;</w:t>
      </w:r>
    </w:p>
    <w:p>
      <w:pPr>
        <w:pStyle w:val="style0"/>
        <w:ind w:firstLine="720" w:left="0" w:right="0"/>
        <w:rPr/>
      </w:pPr>
      <w:r>
        <w:rPr/>
        <w:t>- копия страниц 2, 3, 5 - 12 паспорта гражданина Российской Федерации, или копия времен</w:t>
        <w:softHyphen/>
        <w:t>ного удостоверения личности (в случае утраты паспорта) — для физических лиц;</w:t>
      </w:r>
    </w:p>
    <w:p>
      <w:pPr>
        <w:pStyle w:val="style0"/>
        <w:ind w:firstLine="720" w:left="0" w:right="0"/>
        <w:rPr>
          <w:rFonts w:cs="Times New Roman"/>
        </w:rPr>
      </w:pPr>
      <w:r>
        <w:rPr/>
        <w:t>- справка налогового органа на последнюю отчетную дату об отсутствии просроченной за</w:t>
        <w:softHyphen/>
        <w:t>долженности по налоговым и иным обязательным платежам в бюджетную систему Российской Фе</w:t>
        <w:softHyphen/>
        <w:t>дерации (справка о состоянии расчетов по налогам, сборам, взносам</w:t>
      </w:r>
      <w:r>
        <w:rPr>
          <w:rFonts w:cs="Times New Roman"/>
          <w:color w:val="000000"/>
        </w:rPr>
        <w:t xml:space="preserve"> (код по </w:t>
      </w:r>
      <w:r>
        <w:rPr>
          <w:rFonts w:cs="Times New Roman"/>
        </w:rPr>
        <w:t xml:space="preserve">КНД 1160080) или </w:t>
      </w:r>
      <w:r>
        <w:rPr>
          <w:rFonts w:cs="Times New Roman"/>
          <w:color w:val="000000"/>
        </w:rPr>
        <w:t>спр</w:t>
      </w:r>
      <w:r>
        <w:rPr>
          <w:rFonts w:cs="Times New Roman"/>
        </w:rPr>
        <w:t>авка об исполнении налогоплательщиком (плательщиком сборов, налоговым агентом) обязан</w:t>
        <w:softHyphen/>
        <w:t>ности по уплате налогов, сборов (код по КНД 1120101))</w:t>
      </w:r>
    </w:p>
    <w:p>
      <w:pPr>
        <w:pStyle w:val="style0"/>
        <w:ind w:firstLine="720" w:left="0" w:right="0"/>
        <w:rPr/>
      </w:pPr>
      <w:r>
        <w:rPr>
          <w:rFonts w:cs="Times New Roman"/>
        </w:rPr>
        <w:t>- справка на последнюю отчетную дату о состоянии расчетов по страховым взносам, пеням и штрафам плательщика страховых взносов</w:t>
      </w:r>
      <w:r>
        <w:rPr/>
        <w:t>;</w:t>
      </w:r>
    </w:p>
    <w:p>
      <w:pPr>
        <w:pStyle w:val="style227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копии учредительных документов, заверенные подписью и печатью соискателя; </w:t>
      </w:r>
    </w:p>
    <w:p>
      <w:pPr>
        <w:pStyle w:val="style227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копия свидетельства о внесении записи в Единый государственный реестр юридических лиц или в Единый государственный реестр индивидуальных предпринимателей; </w:t>
      </w:r>
    </w:p>
    <w:p>
      <w:pPr>
        <w:pStyle w:val="style227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копия выписки из Единого государственного реестра юридических лиц или Единого госу</w:t>
        <w:softHyphen/>
        <w:t>дарственного реестра индивидуальных предпринимателей, выданная в текущем финансовом году;</w:t>
      </w:r>
    </w:p>
    <w:p>
      <w:pPr>
        <w:pStyle w:val="style227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копия свидетельства о постановке на налоговый учет, заверенная подписью и печатью со</w:t>
        <w:softHyphen/>
        <w:t>искателя;</w:t>
      </w:r>
    </w:p>
    <w:p>
      <w:pPr>
        <w:pStyle w:val="style227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справка</w:t>
      </w:r>
      <w:r>
        <w:rPr>
          <w:rFonts w:ascii="Times New Roman" w:cs="Times New Roman" w:hAnsi="Times New Roman"/>
          <w:sz w:val="24"/>
          <w:szCs w:val="24"/>
        </w:rPr>
        <w:t xml:space="preserve"> о подтверждении основного вида экономической деятельности за последний от</w:t>
        <w:softHyphen/>
        <w:t xml:space="preserve">четный период, заверенная подписью и печатью соискателя (примерная форма справки приведена в приложении №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к настоящему Положению);</w:t>
      </w:r>
    </w:p>
    <w:p>
      <w:pPr>
        <w:pStyle w:val="style227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справка о величине выручки от реализации товаров (работ, услуг) за предшествующий об</w:t>
        <w:softHyphen/>
        <w:t>ращению за субсидией календарный год без учета налога на добавленную стоимость, заверен</w:t>
        <w:softHyphen/>
        <w:t>ная подписью и печатью соискателя;</w:t>
      </w:r>
    </w:p>
    <w:p>
      <w:pPr>
        <w:pStyle w:val="style0"/>
        <w:ind w:firstLine="720" w:left="0" w:right="0"/>
        <w:rPr/>
      </w:pPr>
      <w:r>
        <w:rPr/>
        <w:t>- справка о величине средней месячной заработной платы работников, выплачиваемой с на</w:t>
        <w:softHyphen/>
        <w:t>чала текущего года, заверенная подписью и печатью соискателя;</w:t>
      </w:r>
    </w:p>
    <w:p>
      <w:pPr>
        <w:pStyle w:val="style228"/>
        <w:ind w:firstLine="72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копии заключенных соискателем договоров на приобретение в собственность оборудова</w:t>
        <w:softHyphen/>
        <w:t>ния;</w:t>
      </w:r>
    </w:p>
    <w:p>
      <w:pPr>
        <w:pStyle w:val="style228"/>
        <w:ind w:firstLine="72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копии заверенных Поставщиком платежных поручений, (инкассовых поручений, пла</w:t>
        <w:softHyphen/>
        <w:t>тежных требований, платежных ордеров), подтверждающих фактическую оплату соискателем оборудования в размере не менее суммы софинансирования;</w:t>
      </w:r>
    </w:p>
    <w:p>
      <w:pPr>
        <w:pStyle w:val="style228"/>
        <w:ind w:firstLine="72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копии актов (накладных) приемки-передачи основных средств (приобретенного оборудо</w:t>
        <w:softHyphen/>
        <w:t>вания);</w:t>
      </w:r>
    </w:p>
    <w:p>
      <w:pPr>
        <w:pStyle w:val="style228"/>
        <w:ind w:firstLine="72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копии бухгалтерских документов, подтверждающих постановку на баланс приобретенного оборудования (акт о вводе в эксплуатацию, инвентарная карточка учета основных средств и др.);</w:t>
      </w:r>
    </w:p>
    <w:p>
      <w:pPr>
        <w:pStyle w:val="style228"/>
        <w:ind w:firstLine="72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копии документов, подтверждающих проведение мероприятий по снижению энергетиче</w:t>
        <w:softHyphen/>
        <w:t>ских из</w:t>
        <w:softHyphen/>
        <w:t>держек (в случае реализации таких мероприятий).</w:t>
      </w:r>
    </w:p>
    <w:p>
      <w:pPr>
        <w:pStyle w:val="style228"/>
        <w:ind w:firstLine="540" w:left="0" w:right="0"/>
        <w:rPr/>
      </w:pPr>
      <w:r>
        <w:rPr/>
      </w:r>
    </w:p>
    <w:p>
      <w:pPr>
        <w:pStyle w:val="style228"/>
        <w:ind w:firstLine="54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4.3. В случае, если приобретенное оборудование до дня подачи конкурсной заявки не было введено в установленном порядке в эксплуатацию (находится на хранении на складе в ожидании монтажа или в монтаже), допускается предоставление указанных в абзаце 17 пункта 4.2 настояще</w:t>
        <w:softHyphen/>
        <w:t>го Положения документов после введения указанного оборудования в эксплуатацию в срок, уста</w:t>
        <w:softHyphen/>
        <w:t>новленный договором о предоставлении субсидии, но не более двух недель после приемки обору</w:t>
        <w:softHyphen/>
        <w:t>дования в эксплуатацию.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В этом случае в составе заявки вместо копий бухгалтерских документов, подтверждающих постановку на баланс приобретенного оборудования, представляются копии актов о приемке обо</w:t>
        <w:softHyphen/>
        <w:t>рудования и(или) актов о приемке-передаче оборудования в монтаж.</w:t>
      </w:r>
    </w:p>
    <w:p>
      <w:pPr>
        <w:pStyle w:val="style0"/>
        <w:ind w:firstLine="567" w:left="0" w:right="0"/>
        <w:rPr/>
      </w:pPr>
      <w:r>
        <w:rPr/>
        <w:t>4.4. Документы, указанные в абзацах 2 — 4, 7, 11 — 18 пункта 4.2 настоящего Положения, представляются в конкурс</w:t>
        <w:softHyphen/>
        <w:t>ную комиссию лично соискателем или лицом, действующим по доверен</w:t>
        <w:softHyphen/>
        <w:t>ности. При подаче заявле</w:t>
        <w:softHyphen/>
        <w:t>ния необходимо иметь при себе документ, удостоверяющий личность.</w:t>
      </w:r>
    </w:p>
    <w:p>
      <w:pPr>
        <w:pStyle w:val="style228"/>
        <w:ind w:firstLine="567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Также соискатель вправе представить документы, указанные в абзацах 5, 6. 8 — 10 пункта 4.2 на</w:t>
        <w:softHyphen/>
        <w:t>стоящего Положения.</w:t>
      </w:r>
    </w:p>
    <w:p>
      <w:pPr>
        <w:pStyle w:val="style0"/>
        <w:ind w:firstLine="567" w:left="0" w:right="0"/>
        <w:rPr/>
      </w:pPr>
      <w:r>
        <w:rPr/>
        <w:t>4.5. Секретарь конкурсной комиссии проверяет полноту и соответствие представленных до</w:t>
        <w:softHyphen/>
        <w:t>кументов требованиям настоящего Положения, а также соответствие соискателя условиям предо</w:t>
        <w:softHyphen/>
        <w:t>ставления субсидии.</w:t>
      </w:r>
    </w:p>
    <w:p>
      <w:pPr>
        <w:pStyle w:val="style228"/>
        <w:ind w:firstLine="567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 случае если соискатель не представил документы, указанные в абзацах 5, 6. 8 — 10 пункта 4.2 настоящего Положения, секретарь конкурсной комиссиипосредством межведомственного запроса, в том числе в электронной форме с использованием единой системы межведомственного элек</w:t>
        <w:softHyphen/>
        <w:t>тронного взаимодействия и подключаемых к ней региональных систем межведомственного элек</w:t>
        <w:softHyphen/>
        <w:t>тронного взаимодействия, запрашивает и получает от Федеральной налоговой службы и Пен</w:t>
        <w:softHyphen/>
        <w:t>сионного фонда России сведения о о постановке на налоговый учет, о внесении записи в Единый государственный реестр юридиче</w:t>
        <w:softHyphen/>
        <w:t>ских лиц или в Единый государственный реестр индивидуальных предпринимателей, о наличии (об отсутствии) у соискателя задолженности по уплате налогов, страховых взносов, сборов, пеней и штрафов.</w:t>
      </w:r>
    </w:p>
    <w:p>
      <w:pPr>
        <w:pStyle w:val="style0"/>
        <w:ind w:firstLine="567" w:left="0" w:right="0"/>
        <w:rPr/>
      </w:pPr>
      <w:r>
        <w:rPr/>
        <w:t xml:space="preserve">4.6. Документы, соответствующие требованиям настоящего Положения, сформированные в заявке, секретарь конкурсной комиссии регистрирует в Журнале регистрации заявок </w:t>
      </w:r>
      <w:r>
        <w:rPr>
          <w:color w:val="000000"/>
        </w:rPr>
        <w:t>субъектов ма</w:t>
        <w:softHyphen/>
        <w:t>лого и среднего предпринимательства и муниципальных организаций</w:t>
      </w:r>
      <w:r>
        <w:rPr/>
        <w:t xml:space="preserve"> поддержки предпринима</w:t>
        <w:softHyphen/>
        <w:t>тельства</w:t>
      </w:r>
      <w:r>
        <w:rPr>
          <w:color w:val="000000"/>
        </w:rPr>
        <w:t xml:space="preserve"> (</w:t>
      </w:r>
      <w:r>
        <w:rPr/>
        <w:t xml:space="preserve">соискателей) на участие в конкурсном отборе по форме согласно приложению № </w:t>
      </w:r>
      <w:r>
        <w:rPr>
          <w:shd w:fill="FFFFFF" w:val="clear"/>
        </w:rPr>
        <w:t xml:space="preserve">3 </w:t>
      </w:r>
      <w:r>
        <w:rPr/>
        <w:t>к на</w:t>
        <w:softHyphen/>
        <w:t>стоящему Положению и в</w:t>
      </w:r>
      <w:r>
        <w:rPr>
          <w:rFonts w:eastAsia="Times New Roman"/>
        </w:rPr>
        <w:t xml:space="preserve"> течение недели со дня регистрации в журнале заявок </w:t>
      </w:r>
      <w:r>
        <w:rPr/>
        <w:t xml:space="preserve">извещает </w:t>
      </w:r>
      <w:r>
        <w:rPr>
          <w:rFonts w:eastAsia="Times New Roman"/>
        </w:rPr>
        <w:t>(почтов</w:t>
        <w:softHyphen/>
        <w:t>ым отправлением, по факсу либо по электронной почте)</w:t>
      </w:r>
      <w:r>
        <w:rPr>
          <w:rFonts w:ascii="Arial CYR" w:cs="Arial CYR" w:eastAsia="Times New Roman" w:hAnsi="Arial CYR"/>
        </w:rPr>
        <w:t xml:space="preserve"> </w:t>
      </w:r>
      <w:r>
        <w:rPr/>
        <w:t>соискателей (участников конкурса) о дате и времени проведения заседания конкурсной комиссии.</w:t>
      </w:r>
    </w:p>
    <w:p>
      <w:pPr>
        <w:pStyle w:val="style0"/>
        <w:ind w:firstLine="567" w:left="0" w:right="0"/>
        <w:rPr/>
      </w:pPr>
      <w:r>
        <w:rPr/>
        <w:t>4.7. В случае необходимости конкурсная комиссия привлекает эксперта для оценки представ</w:t>
        <w:softHyphen/>
        <w:t>ленного соискателем технико-экономического обоснования (бизнес-плана)</w:t>
      </w:r>
      <w:r>
        <w:rPr>
          <w:color w:val="FF0000"/>
        </w:rPr>
        <w:t>?</w:t>
      </w:r>
      <w:r>
        <w:rPr/>
        <w:t>.</w:t>
      </w:r>
    </w:p>
    <w:p>
      <w:pPr>
        <w:pStyle w:val="style227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4.8. Заявка соискателя рассматривается на заседании конкурсной комиссии в присутствии со</w:t>
        <w:softHyphen/>
        <w:t>искателя. В случае необходимости конкурсная комиссия вправе потребовать от соискателя пред</w:t>
        <w:softHyphen/>
        <w:t>ставить дополнительные документы, информацию и разъяснения. В случае выявления факта предоставления недостоверной информации (документации)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>
      <w:pPr>
        <w:pStyle w:val="style229"/>
        <w:ind w:firstLine="567" w:left="0" w:right="0"/>
        <w:rPr/>
      </w:pPr>
      <w:r>
        <w:rPr/>
        <w:t>4.9. Решения об утверждении результатов оценки заявок соискателей, о признании соиска</w:t>
        <w:softHyphen/>
        <w:t>телей прошедшими конкурсный отбор (победителями конкурса) и не прошедшими конкурсный от</w:t>
        <w:softHyphen/>
        <w:t>бор, о предоставлении субсидии, об отклонении заявки или о необходимости получе</w:t>
        <w:softHyphen/>
        <w:t>ния дополни</w:t>
        <w:softHyphen/>
        <w:t>тельной информации о деятельности соискателя принимается простым большинством голосов чле</w:t>
        <w:softHyphen/>
        <w:t>нов конкурсной комиссии. При равенстве голосов "за" и "против" решающим является голос пред</w:t>
        <w:softHyphen/>
        <w:t xml:space="preserve">седателя комиссии. </w:t>
      </w:r>
    </w:p>
    <w:p>
      <w:pPr>
        <w:pStyle w:val="style229"/>
        <w:ind w:firstLine="567" w:left="0" w:right="0"/>
        <w:rPr/>
      </w:pPr>
      <w:r>
        <w:rPr/>
        <w:t xml:space="preserve">4.10. Все зарегистрированные заявки соискателей оцениваются каждым присутствующим на заседании членом комиссии по следующей системе балльных оценок: </w:t>
      </w:r>
    </w:p>
    <w:p>
      <w:pPr>
        <w:pStyle w:val="style229"/>
        <w:ind w:firstLine="737" w:left="0" w:right="0"/>
        <w:rPr/>
      </w:pPr>
      <w:r>
        <w:rPr/>
        <w:t>а) реализация на предприятии мероприятий по снижению энергетических издержек ‒ 5 бал</w:t>
        <w:softHyphen/>
        <w:t xml:space="preserve">лов за каждое мероприятие; </w:t>
      </w:r>
    </w:p>
    <w:p>
      <w:pPr>
        <w:pStyle w:val="style229"/>
        <w:ind w:firstLine="737" w:left="0" w:right="0"/>
        <w:rPr/>
      </w:pPr>
      <w:r>
        <w:rPr/>
        <w:t xml:space="preserve">б) качество подготовки технико-экономического обоснования (бизнес-плана) приобретения оборудования ‒ от 0 до 100 баллов; </w:t>
      </w:r>
    </w:p>
    <w:p>
      <w:pPr>
        <w:pStyle w:val="style0"/>
        <w:ind w:firstLine="720" w:left="0" w:right="0"/>
        <w:rPr>
          <w:rFonts w:cs="Times New Roman"/>
        </w:rPr>
      </w:pPr>
      <w:r>
        <w:rPr>
          <w:rFonts w:cs="Times New Roman"/>
        </w:rPr>
        <w:t>в) осуществление течение последних трех лет инновационной деятельности, связанной с разработкой и внедрением технологических, организационных, маркетинговых и экологических инноваций – 100 баллов;</w:t>
      </w:r>
    </w:p>
    <w:p>
      <w:pPr>
        <w:pStyle w:val="style0"/>
        <w:ind w:firstLine="720" w:left="0" w:right="0"/>
        <w:rPr>
          <w:rFonts w:cs="Times New Roman"/>
        </w:rPr>
      </w:pPr>
      <w:r>
        <w:rPr/>
        <w:t xml:space="preserve">г) создание новых рабочих мест </w:t>
      </w:r>
      <w:r>
        <w:rPr>
          <w:rFonts w:cs="Times New Roman"/>
        </w:rPr>
        <w:t>– 25 баллов за каждое рабочее место, на котором выполняет работу один наемный работник;</w:t>
      </w:r>
    </w:p>
    <w:p>
      <w:pPr>
        <w:pStyle w:val="style0"/>
        <w:ind w:firstLine="720" w:left="0" w:right="0"/>
        <w:rPr/>
      </w:pPr>
      <w:r>
        <w:rPr>
          <w:rFonts w:cs="Times New Roman"/>
        </w:rPr>
        <w:t>д</w:t>
      </w:r>
      <w:r>
        <w:rPr/>
        <w:t xml:space="preserve">) привлечение более одного работника для выполнения работ на вновь созданном рабочем месте </w:t>
      </w:r>
      <w:r>
        <w:rPr>
          <w:rFonts w:cs="Times New Roman" w:eastAsia="Times New Roman"/>
        </w:rPr>
        <w:t>‒</w:t>
      </w:r>
      <w:r>
        <w:rPr>
          <w:rFonts w:eastAsia="Times New Roman"/>
        </w:rPr>
        <w:t xml:space="preserve"> </w:t>
      </w:r>
      <w:r>
        <w:rPr/>
        <w:t>5 баллов за каждого дополнительного работника (свыше одного, занятого на новом рабо</w:t>
        <w:softHyphen/>
        <w:t>чем месте);</w:t>
      </w:r>
    </w:p>
    <w:p>
      <w:pPr>
        <w:pStyle w:val="style0"/>
        <w:ind w:firstLine="720" w:left="0" w:right="0"/>
        <w:rPr>
          <w:rFonts w:cs="Times New Roman"/>
        </w:rPr>
      </w:pPr>
      <w:r>
        <w:rPr>
          <w:rFonts w:cs="Times New Roman"/>
        </w:rPr>
        <w:t>е) отсутствие новых рабочих мест – 0 баллов;</w:t>
      </w:r>
    </w:p>
    <w:p>
      <w:pPr>
        <w:pStyle w:val="style0"/>
        <w:ind w:firstLine="720" w:left="0" w:right="0"/>
        <w:rPr/>
      </w:pPr>
      <w:r>
        <w:rPr/>
        <w:t xml:space="preserve">ж) непривлечение соискателем дополнительных наемных работников для выполнения работ на вновь созданном рабочем месте </w:t>
      </w:r>
      <w:r>
        <w:rPr>
          <w:rFonts w:cs="Times New Roman" w:eastAsia="Times New Roman"/>
        </w:rPr>
        <w:t>‒</w:t>
      </w:r>
      <w:r>
        <w:rPr/>
        <w:t xml:space="preserve"> 0 баллов;</w:t>
      </w:r>
    </w:p>
    <w:p>
      <w:pPr>
        <w:pStyle w:val="style229"/>
        <w:ind w:firstLine="737" w:left="0" w:right="0"/>
        <w:rPr>
          <w:rFonts w:cs="Courier New"/>
        </w:rPr>
      </w:pPr>
      <w:r>
        <w:rPr/>
        <w:t>з) оборудование, приобретенное соискателем, относится к стационарному производствен</w:t>
        <w:softHyphen/>
        <w:t>ному оборудованию и нестационарному (иеремещаемому и самоходному) производственному обо</w:t>
        <w:softHyphen/>
        <w:t xml:space="preserve">рудованию, включая </w:t>
      </w:r>
      <w:r>
        <w:rPr>
          <w:rFonts w:cs="Courier New"/>
        </w:rPr>
        <w:t xml:space="preserve">сельскохозяйственные </w:t>
      </w:r>
      <w:r>
        <w:rPr/>
        <w:t>машины, являющиеся транспортными средствами спе</w:t>
        <w:softHyphen/>
        <w:t>циального и специализированного назначения (изготовленные на базе (шасси) транспортных средств категорий M, N, O), сельскохозяйственные т</w:t>
      </w:r>
      <w:r>
        <w:rPr>
          <w:rFonts w:cs="Courier New"/>
        </w:rPr>
        <w:t>ракторы (</w:t>
      </w:r>
      <w:r>
        <w:rPr/>
        <w:t xml:space="preserve">транспортные средства </w:t>
      </w:r>
      <w:r>
        <w:rPr>
          <w:rFonts w:cs="Courier New"/>
        </w:rPr>
        <w:t>категории Т), за исключением оборудования, указанного в подпунктах «и», «к» и «л» — 100 баллов.</w:t>
      </w:r>
    </w:p>
    <w:p>
      <w:pPr>
        <w:pStyle w:val="style229"/>
        <w:ind w:firstLine="737" w:left="0" w:right="0"/>
        <w:rPr/>
      </w:pPr>
      <w:r>
        <w:rPr>
          <w:rFonts w:cs="Courier New"/>
        </w:rPr>
        <w:t xml:space="preserve">и) </w:t>
      </w:r>
      <w:r>
        <w:rPr/>
        <w:t>строительные и дорожные машины</w:t>
      </w:r>
      <w:r>
        <w:rPr>
          <w:rFonts w:cs="Courier New"/>
        </w:rPr>
        <w:t xml:space="preserve">, </w:t>
      </w:r>
      <w:r>
        <w:rPr/>
        <w:t>машины для коммунального хозяйства, являющиеся транспортными средствами специального и специализированного назначения (изготовленные на базе (шасси) транспортных средств категорий M, N, O), виды которых включены в Перечень отдельных видов товаров машиностроения, происходящих из иностранных государств, в отноше</w:t>
        <w:softHyphen/>
        <w:t>нии которых устанавливается запрет на допуск для целей осуществления закупок для обеспечения государственных и муниципальных нужд, утвержденный Постановлением Правительства РФ от 14.07.2014 N 656 (далее — Перечень), и документально подтвержденной страной происхождения которых является Российская Федерация, Республика Белоруссия или Республика Казахстан – 100 баллов;</w:t>
      </w:r>
    </w:p>
    <w:p>
      <w:pPr>
        <w:pStyle w:val="style229"/>
        <w:ind w:firstLine="737" w:left="0" w:right="0"/>
        <w:rPr>
          <w:rFonts w:cs="Courier New"/>
        </w:rPr>
      </w:pPr>
      <w:r>
        <w:rPr/>
        <w:t>к) оборудование, приобретенное соискателем, относится к строительным, дорожным, ма</w:t>
        <w:softHyphen/>
        <w:t xml:space="preserve">шинам </w:t>
      </w:r>
      <w:r>
        <w:rPr>
          <w:rFonts w:cs="Courier New"/>
        </w:rPr>
        <w:t xml:space="preserve">и </w:t>
      </w:r>
      <w:r>
        <w:rPr/>
        <w:t>машинам для коммунального хозяйства, включенным в Перечень, и страна происхожде</w:t>
        <w:softHyphen/>
        <w:t>ния которых документально не подтверждена – 50 баллов</w:t>
      </w:r>
      <w:r>
        <w:rPr>
          <w:rFonts w:cs="Courier New"/>
        </w:rPr>
        <w:t>;</w:t>
      </w:r>
    </w:p>
    <w:p>
      <w:pPr>
        <w:pStyle w:val="style229"/>
        <w:ind w:firstLine="737" w:left="0" w:right="0"/>
        <w:rPr/>
      </w:pPr>
      <w:r>
        <w:rPr>
          <w:rFonts w:cs="Courier New"/>
        </w:rPr>
        <w:t xml:space="preserve">л) оборудование, приобретенное соискателем, относится к </w:t>
      </w:r>
      <w:r>
        <w:rPr/>
        <w:t>транспортным средствам катего</w:t>
        <w:softHyphen/>
        <w:t>рий M</w:t>
      </w:r>
      <w:r>
        <w:rPr>
          <w:sz w:val="28"/>
          <w:szCs w:val="28"/>
          <w:vertAlign w:val="subscript"/>
        </w:rPr>
        <w:t>2</w:t>
      </w:r>
      <w:r>
        <w:rPr/>
        <w:t xml:space="preserve">, </w:t>
      </w:r>
      <w:r>
        <w:rPr>
          <w:lang w:val="en-US"/>
        </w:rPr>
        <w:t>M</w:t>
      </w:r>
      <w:r>
        <w:rPr>
          <w:sz w:val="28"/>
          <w:szCs w:val="28"/>
          <w:vertAlign w:val="subscript"/>
        </w:rPr>
        <w:t>3</w:t>
      </w:r>
      <w:r>
        <w:rPr/>
        <w:t xml:space="preserve">, N, O и </w:t>
      </w:r>
      <w:r>
        <w:rPr>
          <w:lang w:val="en-US"/>
        </w:rPr>
        <w:t>G</w:t>
      </w:r>
      <w:r>
        <w:rPr/>
        <w:t xml:space="preserve"> (за исключением специальных транспортных средств, указанных в подпунк</w:t>
        <w:softHyphen/>
        <w:t>тах «з», «и» и «к» настоящего Положения) — 5 баллов.</w:t>
      </w:r>
    </w:p>
    <w:p>
      <w:pPr>
        <w:pStyle w:val="style229"/>
        <w:ind w:firstLine="737" w:left="0" w:right="0"/>
        <w:rPr/>
      </w:pPr>
      <w:r>
        <w:rPr/>
      </w:r>
    </w:p>
    <w:p>
      <w:pPr>
        <w:pStyle w:val="style229"/>
        <w:ind w:firstLine="567" w:left="0" w:right="0"/>
        <w:rPr/>
      </w:pPr>
      <w:r>
        <w:rPr/>
        <w:t>4.11. Секретарь конкурсной комиссии суммирует оценки (баллы), выставленные соискателям каж</w:t>
        <w:softHyphen/>
        <w:t>дым членом конкурсной комиссии, заносит эти данные в протокол и результаты подсчета объ</w:t>
        <w:softHyphen/>
        <w:t xml:space="preserve">являет членам конкурсной комиссии. </w:t>
      </w:r>
    </w:p>
    <w:p>
      <w:pPr>
        <w:pStyle w:val="style229"/>
        <w:ind w:firstLine="567" w:left="0" w:right="0"/>
        <w:rPr/>
      </w:pPr>
      <w:r>
        <w:rPr/>
        <w:t>4.12. Решение об утверждении результатов оценки заявок соискателей и о признании соиска</w:t>
        <w:softHyphen/>
        <w:t>телей, прошедших конкурсный отбор, победителями конкурсного отбора, имеющими право на по</w:t>
        <w:softHyphen/>
        <w:t>лучение субсидии, о признании соискателей не прошедшими конкурсный отбор принимается кон</w:t>
        <w:softHyphen/>
        <w:t>курсной комиссией на основании итоговых оценок заявок.</w:t>
      </w:r>
    </w:p>
    <w:p>
      <w:pPr>
        <w:pStyle w:val="style229"/>
        <w:ind w:firstLine="567" w:left="0" w:right="0"/>
        <w:rPr/>
      </w:pPr>
      <w:r>
        <w:rPr/>
        <w:t>4.13. Решение о признании соискателей прошедшими конкурсный отбор (победителями кон</w:t>
        <w:softHyphen/>
        <w:t>курса), о признании соискателей не прошедшими конкурсный отбор принимается исходя из объема средств, предусмотренных на эти цели в Про</w:t>
        <w:softHyphen/>
        <w:t>грамме.</w:t>
      </w:r>
    </w:p>
    <w:p>
      <w:pPr>
        <w:pStyle w:val="style229"/>
        <w:ind w:firstLine="567" w:left="0" w:right="0"/>
        <w:rPr/>
      </w:pPr>
      <w:r>
        <w:rPr/>
        <w:t>Размер предоставляемой субсидии (финансовой поддержки), определяется в порядке, уста</w:t>
        <w:softHyphen/>
        <w:t xml:space="preserve">новленном пунктами 4.14 — </w:t>
      </w:r>
      <w:r>
        <w:rPr>
          <w:shd w:fill="FFFFFF" w:val="clear"/>
        </w:rPr>
        <w:t>4.17</w:t>
      </w:r>
      <w:r>
        <w:rPr/>
        <w:t xml:space="preserve"> настоящего Положения, с учетом ограничений, установленных в пункте 3.1 настоящего Положения.</w:t>
      </w:r>
    </w:p>
    <w:p>
      <w:pPr>
        <w:pStyle w:val="style229"/>
        <w:ind w:firstLine="567" w:left="0" w:right="0"/>
        <w:rPr/>
      </w:pPr>
      <w:r>
        <w:rPr/>
        <w:t>4.14. В случае, когда общий объем субсидий, запрашиваемых всеми соискателями, заявки ко</w:t>
        <w:softHyphen/>
        <w:t>торых соответствуют требованиям настоящего Положения, равен размеру бюджетных ассигнова</w:t>
        <w:softHyphen/>
        <w:t>ний, предусмотренных Программой на цели оказания финансовой поддержки данного вида, или меньше указанного размера бюджетных ассигнова</w:t>
        <w:softHyphen/>
        <w:t xml:space="preserve">ний (коэффициент обеспечения заявок 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>
          <w:sz w:val="28"/>
          <w:szCs w:val="28"/>
        </w:rPr>
        <w:t xml:space="preserve"> ≥</w:t>
      </w:r>
      <w:r>
        <w:rPr/>
        <w:t xml:space="preserve"> 1), субсидии предоставляются всем указанным соис</w:t>
        <w:softHyphen/>
        <w:t>кателям, прошедшим конкурсный отбор.</w:t>
      </w:r>
    </w:p>
    <w:p>
      <w:pPr>
        <w:pStyle w:val="style229"/>
        <w:ind w:firstLine="567" w:left="0" w:right="0"/>
        <w:rPr>
          <w:shd w:fill="FFFFFF" w:val="clear"/>
        </w:rPr>
      </w:pPr>
      <w:r>
        <w:rPr>
          <w:shd w:fill="FFFFFF" w:val="clear"/>
        </w:rPr>
        <w:t>При этом размер субсидии, предоставляемой каждому из победителей кон</w:t>
        <w:softHyphen/>
        <w:t>курса, определяет</w:t>
        <w:softHyphen/>
        <w:t>ся исходя из указанного в заявке соискателя размера затрат</w:t>
      </w:r>
      <w:r>
        <w:rPr>
          <w:color w:val="000000"/>
          <w:shd w:fill="FFFFFF" w:val="clear"/>
        </w:rPr>
        <w:t>, фактически осуществлен</w:t>
        <w:softHyphen/>
        <w:t>ных на приобретение оборудования в целях создания и (или) развития, и (или) модернизации производства товаров</w:t>
      </w:r>
      <w:r>
        <w:rPr>
          <w:shd w:fill="FFFFFF" w:val="clear"/>
        </w:rPr>
        <w:t>.</w:t>
      </w:r>
    </w:p>
    <w:p>
      <w:pPr>
        <w:pStyle w:val="style229"/>
        <w:ind w:firstLine="567" w:left="0" w:right="0"/>
        <w:rPr/>
      </w:pPr>
      <w:r>
        <w:rPr/>
        <w:t xml:space="preserve">4.15. Если после проведения конкурсного отбора (при 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/>
        <w:t xml:space="preserve"> &gt; 1) часть бюджетных ассигнований для оказания финансовой поддержки данного вида остается нераспределенной, проводится 2-й этап конкурсного отбора в пределах остатка бюджетных ассигнований на эти цели в порядке, предусмотренном пунктами 4.7 — 4.1</w:t>
      </w:r>
      <w:r>
        <w:rPr>
          <w:shd w:fill="FFFFFF" w:val="clear"/>
        </w:rPr>
        <w:t>3</w:t>
      </w:r>
      <w:r>
        <w:rPr/>
        <w:t xml:space="preserve"> настоящего Положения.</w:t>
      </w:r>
    </w:p>
    <w:p>
      <w:pPr>
        <w:pStyle w:val="style0"/>
        <w:ind w:firstLine="567" w:left="0" w:right="0"/>
        <w:rPr>
          <w:rFonts w:cs="Times New Roman" w:eastAsia="Times New Roman"/>
        </w:rPr>
      </w:pPr>
      <w:r>
        <w:rPr>
          <w:rFonts w:cs="Times New Roman" w:eastAsia="Times New Roman"/>
        </w:rPr>
        <w:t>4.16. В случае, когда общий объем субсидий, запрашиваемых соискателями, превышает раз</w:t>
        <w:softHyphen/>
        <w:t>мер бюджетных ассигнова</w:t>
        <w:softHyphen/>
        <w:t>ний, предусмотренных Программой на цели оказания финансовой под</w:t>
        <w:softHyphen/>
        <w:t xml:space="preserve">держки данного вида (коэффициент обеспечения заявок </w:t>
      </w:r>
      <w:r>
        <w:rPr>
          <w:rFonts w:cs="Times New Roman" w:eastAsia="Times New Roman"/>
          <w:lang w:val="en-US"/>
        </w:rPr>
        <w:t>k</w:t>
      </w:r>
      <w:r>
        <w:rPr>
          <w:rFonts w:cs="Times New Roman" w:eastAsia="Times New Roman"/>
          <w:sz w:val="28"/>
          <w:szCs w:val="28"/>
          <w:vertAlign w:val="subscript"/>
        </w:rPr>
        <w:t>оз</w:t>
      </w:r>
      <w:r>
        <w:rPr>
          <w:rFonts w:cs="Times New Roman" w:eastAsia="Times New Roman"/>
        </w:rPr>
        <w:t xml:space="preserve"> &lt; 1), сначала в порядке, предусмотрен</w:t>
        <w:softHyphen/>
        <w:t>ном пунктами 4.7 — 4.13</w:t>
      </w:r>
      <w:r>
        <w:rPr>
          <w:rFonts w:cs="Times New Roman" w:eastAsia="Times New Roman"/>
          <w:shd w:fill="FFFFFF" w:val="clear"/>
        </w:rPr>
        <w:t xml:space="preserve"> </w:t>
      </w:r>
      <w:r>
        <w:rPr>
          <w:rFonts w:cs="Times New Roman" w:eastAsia="Times New Roman"/>
        </w:rPr>
        <w:t>настоящего Положения, проводится 1-й этап конкурсного отбора среди соискателей, затраты которых связаны с приобретением оборудования, указанного в под</w:t>
        <w:softHyphen/>
        <w:t>пунктах «з» и «и» пункта 4.10.</w:t>
      </w:r>
    </w:p>
    <w:p>
      <w:pPr>
        <w:pStyle w:val="style229"/>
        <w:ind w:firstLine="567" w:left="0" w:right="0"/>
        <w:rPr/>
      </w:pPr>
      <w:r>
        <w:rPr/>
        <w:t>Затем проводится 2-й этап конкурсного отбора в порядке, предусмотренном пунктами 4.7 — 4.1</w:t>
      </w:r>
      <w:r>
        <w:rPr>
          <w:shd w:fill="FFFFFF" w:val="clear"/>
        </w:rPr>
        <w:t>3 н</w:t>
      </w:r>
      <w:r>
        <w:rPr/>
        <w:t>астоящего Положения, среди соискателей, затраты которых связаны с приобретением оборудования, указанного в подпункте «к» пункта 4.10.</w:t>
      </w:r>
    </w:p>
    <w:p>
      <w:pPr>
        <w:pStyle w:val="style229"/>
        <w:ind w:firstLine="567" w:left="0" w:right="0"/>
        <w:rPr/>
      </w:pPr>
      <w:r>
        <w:rPr/>
        <w:t>Если после завершения двух этапов конкурсного отбора остается нераспределенной часть бюджетных ассигнований на предоставление финансовой поддержки данного вида, в пределах остатка бюджетных ассигнований на эти цели проводится 3-й этап конкурсного отбора в порядке, предусмотренном пунктами 4.7 — 4.1</w:t>
      </w:r>
      <w:r>
        <w:rPr>
          <w:shd w:fill="FFFFFF" w:val="clear"/>
        </w:rPr>
        <w:t>3</w:t>
      </w:r>
      <w:r>
        <w:rPr/>
        <w:t>настоящего Положения, среди соискателей, затраты которых связаны с приобретением оборудования, указанного в подпункте «л» пункта 4.10.</w:t>
      </w:r>
    </w:p>
    <w:p>
      <w:pPr>
        <w:pStyle w:val="style229"/>
        <w:ind w:firstLine="567" w:left="0" w:right="0"/>
        <w:rPr>
          <w:shd w:fill="FFFFFF" w:val="clear"/>
        </w:rPr>
      </w:pPr>
      <w:r>
        <w:rPr>
          <w:shd w:fill="FFFFFF" w:val="clear"/>
        </w:rPr>
        <w:t>4.17. В случае, когда на любом из этапов конкурсного отбора, предусмотренных пунктами 4.12 — 4.16 настоящего Положения, объем субсидий, запрашиваемых всеми соискателями, участ</w:t>
        <w:softHyphen/>
        <w:t>вующими в данном этапе, меньше имеющегося размера бюджетных ассигнова</w:t>
        <w:softHyphen/>
        <w:t>ний на цели оказа</w:t>
        <w:softHyphen/>
        <w:t>ния финансовой поддержки данного вида, размер субсидий, предоставляемых соискателям, участ</w:t>
        <w:softHyphen/>
        <w:t>вующим в этом этапе, определяется исходя из имеющегося размера бюджетных ассигнований и итоговой суммы баллов, присужденных заявкам этих соискателей, начиная с заявки, набравшей максимальную итоговую сумму баллов, и далее — в порядке убывания итоговой сум</w:t>
        <w:softHyphen/>
        <w:t>мы баллов, за</w:t>
        <w:softHyphen/>
        <w:t>канчивая заявкой с минимальной итоговой суммой баллов, на которую приходится оставшая</w:t>
        <w:softHyphen/>
        <w:t>ся не</w:t>
        <w:softHyphen/>
        <w:t>распределенной часть средств.</w:t>
      </w:r>
    </w:p>
    <w:p>
      <w:pPr>
        <w:pStyle w:val="style229"/>
        <w:ind w:firstLine="567" w:left="0" w:right="0"/>
        <w:rPr>
          <w:shd w:fill="FFFFFF" w:val="clear"/>
        </w:rPr>
      </w:pPr>
      <w:r>
        <w:rPr/>
        <w:t xml:space="preserve">Соискателям, занявшим первые три места (в результате ранжирования исходя из </w:t>
      </w:r>
      <w:r>
        <w:rPr>
          <w:shd w:fill="FFFFFF" w:val="clear"/>
        </w:rPr>
        <w:t>итоговой сум</w:t>
        <w:softHyphen/>
        <w:t xml:space="preserve">мы </w:t>
      </w:r>
      <w:r>
        <w:rPr/>
        <w:t xml:space="preserve">баллов, присужденных их заявкам), субсидии предоставляются </w:t>
      </w:r>
      <w:r>
        <w:rPr>
          <w:shd w:fill="FFFFFF" w:val="clear"/>
        </w:rPr>
        <w:t>размерах, указанных в их заявках.</w:t>
      </w:r>
    </w:p>
    <w:p>
      <w:pPr>
        <w:pStyle w:val="style229"/>
        <w:ind w:firstLine="567" w:left="0" w:right="0"/>
        <w:rPr>
          <w:shd w:fill="FFFFFF" w:val="clear"/>
        </w:rPr>
      </w:pPr>
      <w:r>
        <w:rPr>
          <w:shd w:fill="FFFFFF" w:val="clear"/>
        </w:rPr>
        <w:t>Размеры субсидий, предоставляемых остальным соискателям, участвующим в данном этапе, определяется исходя из оставшегося нераспределенным размера бюджетных ассигнований и ито</w:t>
        <w:softHyphen/>
        <w:t>говой суммы баллов, присужденных заявкам этих соискателей, начиная с заявки, которой в ре</w:t>
        <w:softHyphen/>
        <w:t>зультате ранжирования по итоговой сумме баллов присвоен номер четыре (соответствующей чет</w:t>
        <w:softHyphen/>
        <w:t>вертому месту) и далее — в порядке убывания итоговой сум</w:t>
        <w:softHyphen/>
        <w:t>мы баллов, заканчивая заявкой с мини</w:t>
        <w:softHyphen/>
        <w:t>мальной итоговой суммой баллов, на которую приходится оставшая</w:t>
        <w:softHyphen/>
        <w:t>ся нераспределенной часть средств.</w:t>
      </w:r>
    </w:p>
    <w:p>
      <w:pPr>
        <w:pStyle w:val="style229"/>
        <w:ind w:firstLine="567" w:left="0" w:right="0"/>
        <w:rPr/>
      </w:pPr>
      <w:r>
        <w:rPr/>
        <w:t xml:space="preserve">Если </w:t>
      </w:r>
      <w:r>
        <w:rPr>
          <w:shd w:fill="FFFFFF" w:val="clear"/>
        </w:rPr>
        <w:t xml:space="preserve">минимальную итоговую сумму баллов получают </w:t>
      </w:r>
      <w:r>
        <w:rPr/>
        <w:t>заявки нескольких соискателей, при</w:t>
        <w:softHyphen/>
        <w:t>знанных победителями, и при этом размер запрашиваемых ими субсидий превышает размер средств, остающихся нераспределенными, эти средства распределяются между соискателями про</w:t>
        <w:softHyphen/>
        <w:t>порционально размерам запрашиваемых ими субсидий.</w:t>
      </w:r>
    </w:p>
    <w:p>
      <w:pPr>
        <w:pStyle w:val="style229"/>
        <w:ind w:firstLine="567" w:left="0" w:right="0"/>
        <w:rPr>
          <w:shd w:fill="FFFFFF" w:val="clear"/>
        </w:rPr>
      </w:pPr>
      <w:r>
        <w:rPr>
          <w:shd w:fill="FFFFFF" w:val="clear"/>
        </w:rPr>
        <w:t>Признаются не прошедшими конкурсный отбор соискатели, чьи заявки набрали итоговую сумму баллов меньше, чем последняя заявка с минимальной итоговой суммой баллов среди побе</w:t>
        <w:softHyphen/>
        <w:t>дителей конкурса, на которую пришлась оставшаяся нераспределенной часть средств.</w:t>
      </w:r>
    </w:p>
    <w:p>
      <w:pPr>
        <w:pStyle w:val="style229"/>
        <w:ind w:firstLine="567" w:left="0" w:right="0"/>
        <w:rPr/>
      </w:pPr>
      <w:r>
        <w:rPr/>
        <w:t>4.18.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последнюю оче</w:t>
        <w:softHyphen/>
        <w:t>редь.</w:t>
      </w:r>
    </w:p>
    <w:p>
      <w:pPr>
        <w:pStyle w:val="style0"/>
        <w:ind w:firstLine="567" w:left="0" w:right="0"/>
        <w:rPr>
          <w:rFonts w:cs="Times New Roman"/>
          <w:shd w:fill="FFFFFF" w:val="clear"/>
        </w:rPr>
      </w:pPr>
      <w:r>
        <w:rPr>
          <w:shd w:fill="FFFFFF" w:val="clear"/>
        </w:rPr>
        <w:t xml:space="preserve">4.19. В случае, если отношение </w:t>
      </w:r>
      <w:r>
        <w:rPr>
          <w:rFonts w:cs="Times New Roman"/>
          <w:shd w:fill="FFFFFF" w:val="clear"/>
        </w:rPr>
        <w:t>среднего размера заявки среди участников конкурса, относя</w:t>
        <w:softHyphen/>
        <w:t xml:space="preserve">щихся к субъектам среднего предпринимательства ( </w:t>
      </w:r>
      <w:r>
        <w:rPr>
          <w:rFonts w:ascii="Tahoma" w:cs="Tahoma" w:hAnsi="Tahoma"/>
          <w:shd w:fill="FFFFFF" w:val="clear"/>
        </w:rPr>
        <w:t>̅</w:t>
      </w:r>
      <w:r>
        <w:rPr>
          <w:rFonts w:cs="Times New Roman"/>
          <w:shd w:fill="FFFFFF" w:val="clear"/>
          <w:lang w:val="en-US"/>
        </w:rPr>
        <w:t>S</w:t>
      </w:r>
      <w:r>
        <w:rPr>
          <w:rFonts w:cs="Times New Roman"/>
          <w:shd w:fill="FFFFFF" w:val="clear"/>
          <w:vertAlign w:val="subscript"/>
        </w:rPr>
        <w:t>ср.</w:t>
      </w:r>
      <w:r>
        <w:rPr>
          <w:rFonts w:cs="Times New Roman"/>
          <w:shd w:fill="FFFFFF" w:val="clear"/>
        </w:rPr>
        <w:t>) к среднему размеру заявки среди участ</w:t>
        <w:softHyphen/>
        <w:t xml:space="preserve">ников конкурса, относящихся к субъектам малого предпринимательства ( </w:t>
      </w:r>
      <w:r>
        <w:rPr>
          <w:rFonts w:ascii="Tahoma" w:cs="Tahoma" w:hAnsi="Tahoma"/>
          <w:shd w:fill="FFFFFF" w:val="clear"/>
        </w:rPr>
        <w:t>̅</w:t>
      </w:r>
      <w:r>
        <w:rPr>
          <w:rFonts w:cs="Times New Roman"/>
          <w:shd w:fill="FFFFFF" w:val="clear"/>
          <w:lang w:val="en-US"/>
        </w:rPr>
        <w:t>S</w:t>
      </w:r>
      <w:r>
        <w:rPr>
          <w:rFonts w:cs="Times New Roman"/>
          <w:sz w:val="28"/>
          <w:szCs w:val="28"/>
          <w:shd w:fill="FFFFFF" w:val="clear"/>
          <w:vertAlign w:val="subscript"/>
        </w:rPr>
        <w:t>мал.</w:t>
      </w:r>
      <w:r>
        <w:rPr>
          <w:rFonts w:cs="Times New Roman"/>
          <w:shd w:fill="FFFFFF" w:val="clear"/>
        </w:rPr>
        <w:t>), не превышает 1,25, конкурсный отбор проводится в порядке, установленном пунктами 4.8 — 4.16 настоящего Положения, сразу среди всех участников конкурса, относящихся к субъектам малого и среднего предпринимательства.</w:t>
      </w:r>
    </w:p>
    <w:p>
      <w:pPr>
        <w:pStyle w:val="style0"/>
        <w:ind w:firstLine="567" w:left="0" w:right="0"/>
        <w:rPr>
          <w:rFonts w:cs="Times New Roman"/>
        </w:rPr>
      </w:pPr>
      <w:r>
        <w:rPr/>
        <w:t xml:space="preserve">В случае, если отношение </w:t>
      </w:r>
      <w:r>
        <w:rPr>
          <w:rFonts w:cs="Times New Roman"/>
        </w:rPr>
        <w:t xml:space="preserve">среднего размера заявки среди участников конкурса, относящихся к субъектам среднего предпринимательства (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  <w:vertAlign w:val="subscript"/>
        </w:rPr>
        <w:t>ср.</w:t>
      </w:r>
      <w:r>
        <w:rPr>
          <w:rFonts w:cs="Times New Roman"/>
        </w:rPr>
        <w:t xml:space="preserve">) к среднему размеру заявки среди участников конкурса, относящихся к субъектам малого предпринимательства (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  <w:sz w:val="28"/>
          <w:szCs w:val="28"/>
          <w:vertAlign w:val="subscript"/>
        </w:rPr>
        <w:t>мал.</w:t>
      </w:r>
      <w:r>
        <w:rPr>
          <w:rFonts w:cs="Times New Roman"/>
        </w:rPr>
        <w:t>), больше 1,25, конкурсный отбор проводится отдельно среди участников конкурса, относящихся к субъектам среднего пред</w:t>
        <w:softHyphen/>
        <w:t>принимательства, и среди участников конкурса, относящихся к субъектам малого предпринима</w:t>
        <w:softHyphen/>
        <w:t>тельства.</w:t>
      </w:r>
    </w:p>
    <w:p>
      <w:pPr>
        <w:pStyle w:val="style0"/>
        <w:ind w:firstLine="567" w:left="0" w:right="0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  <w:t xml:space="preserve">При этом общая сумма </w:t>
      </w:r>
      <w:r>
        <w:rPr>
          <w:rFonts w:cs="Times New Roman" w:eastAsia="Times New Roman"/>
          <w:shd w:fill="FFFFFF" w:val="clear"/>
        </w:rPr>
        <w:t>бюджетных ассигнова</w:t>
        <w:softHyphen/>
        <w:t>ний, направляемых на оказание поддержки дан</w:t>
        <w:softHyphen/>
        <w:t xml:space="preserve">ного вида </w:t>
      </w:r>
      <w:r>
        <w:rPr>
          <w:rFonts w:cs="Times New Roman"/>
          <w:shd w:fill="FFFFFF" w:val="clear"/>
        </w:rPr>
        <w:t>распределяются между участвующими в конкурсном отборе субъектами среднего пред</w:t>
        <w:softHyphen/>
        <w:t>принимательства и субъектами малого предпринимательства пропорционально количеству подан</w:t>
        <w:softHyphen/>
        <w:t>ных указанными субъектами заявок.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4.20. Заседания конкурсной комиссии проводятся не ранее трех дней с даты опубликования в средствах массовой информации (объявления) о проведении конкурсного отбора и не позднее 20 декабря текущего года.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4.21. Заседания конкурсной комиссии созываются для рассмотрения заявлений и докумен</w:t>
        <w:softHyphen/>
        <w:t>тов, представленных не менее чем двумя соискателями, но не позже чем через месяц после регистрац</w:t>
        <w:softHyphen/>
        <w:t>ии первой заявки.</w:t>
      </w:r>
    </w:p>
    <w:p>
      <w:pPr>
        <w:pStyle w:val="style0"/>
        <w:ind w:firstLine="567" w:left="0" w:right="0"/>
        <w:rPr/>
      </w:pPr>
      <w:r>
        <w:rPr>
          <w:shd w:fill="FFFFFF" w:val="clear"/>
        </w:rPr>
        <w:t>4.22. В случае, если в конкурсную комиссию в течение 25 дней с даты опубликования в сред</w:t>
        <w:softHyphen/>
        <w:t>ствах массовой информации объявления о проведении конкурсного отбора поступила только одна заявка, о</w:t>
      </w:r>
      <w:r>
        <w:rPr/>
        <w:t>на рассматривается не позже одного месяца с даты ее регистрации.</w:t>
      </w:r>
    </w:p>
    <w:p>
      <w:pPr>
        <w:pStyle w:val="style0"/>
        <w:ind w:firstLine="567" w:left="0" w:right="0"/>
        <w:rPr/>
      </w:pPr>
      <w:r>
        <w:rPr/>
        <w:t>4.23. Заседание конкурсной комиссии считается правомочным, если в нём принимает уча</w:t>
        <w:softHyphen/>
        <w:t>стие более половины членов конкурсной комиссии.</w:t>
      </w:r>
    </w:p>
    <w:p>
      <w:pPr>
        <w:pStyle w:val="style0"/>
        <w:ind w:firstLine="567" w:left="0" w:right="0"/>
        <w:rPr/>
      </w:pPr>
      <w:r>
        <w:rPr/>
        <w:t>4.24. Решения конкурсной комиссии оформляются протоколом. Выписки из протокола заседан</w:t>
        <w:softHyphen/>
        <w:t>ия конкурсной комиссии направляются победителям конкурса.</w:t>
      </w:r>
    </w:p>
    <w:p>
      <w:pPr>
        <w:pStyle w:val="style227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4.25. При отсутствии конкурирующих заявок и наличии средств, предусмотренных на эти цели в местном бюджете, конкурсная комиссия вправе принять решение о предоставлении субси</w:t>
        <w:softHyphen/>
        <w:t>дии единственному соискателю.</w:t>
      </w:r>
    </w:p>
    <w:p>
      <w:pPr>
        <w:pStyle w:val="style0"/>
        <w:ind w:firstLine="567" w:left="0" w:right="0"/>
        <w:rPr/>
      </w:pPr>
      <w:r>
        <w:rPr/>
        <w:t>4.26. Секретарь конкурсной комиссии регистрирует победителей конкурса, и извещает их о необходимости оформления и подписания договора с администрацией о предоставлении субсидии по форме согласно приложению № 5 к настоящему Положению.</w:t>
      </w:r>
    </w:p>
    <w:p>
      <w:pPr>
        <w:pStyle w:val="style0"/>
        <w:ind w:firstLine="567" w:left="0" w:right="0"/>
        <w:rPr/>
      </w:pPr>
      <w:r>
        <w:rPr/>
        <w:t>4.27. Условия и сроки перечисления субсидии, порядок предоставления документов финансов</w:t>
        <w:softHyphen/>
        <w:t>ой отчётности о целевом использовании субсидии, порядок возврата субсидии в случае нару</w:t>
        <w:softHyphen/>
        <w:t>шения условий её предоставления предусматриваются договором о предоставлении субсидии.</w:t>
      </w:r>
    </w:p>
    <w:p>
      <w:pPr>
        <w:pStyle w:val="style0"/>
        <w:ind w:firstLine="567" w:left="0" w:right="0"/>
        <w:rPr/>
      </w:pPr>
      <w:r>
        <w:rPr/>
        <w:t>4.28. Секретарь конкурсной комиссии составляет Реестр победителей конкурсного отбора на перечисление субсидий по форме согласно приложению № 4 к настоящему Положению.</w:t>
      </w:r>
    </w:p>
    <w:p>
      <w:pPr>
        <w:pStyle w:val="style0"/>
        <w:ind w:firstLine="567" w:left="0" w:right="0"/>
        <w:rPr>
          <w:color w:val="000000"/>
        </w:rPr>
      </w:pPr>
      <w:r>
        <w:rPr/>
        <w:t xml:space="preserve">4.29. </w:t>
      </w:r>
      <w:r>
        <w:rPr>
          <w:color w:val="000000"/>
        </w:rPr>
        <w:t>В случае предоставления субсидий на реализацию данного мероприятия муниципаль</w:t>
        <w:softHyphen/>
        <w:t>ной программы из средств областного и(или) федерального бюджетов в течение финансо</w:t>
        <w:softHyphen/>
        <w:t>вого года в несколько этапов (траншами) в рамках каждого этапа проводится отдельный кон</w:t>
        <w:softHyphen/>
        <w:t>курсный отбор заявок в порядке, предусмотренном настоящим Положением.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jc w:val="center"/>
        <w:rPr>
          <w:b/>
          <w:color w:val="000000"/>
        </w:rPr>
      </w:pPr>
      <w:r>
        <w:rPr>
          <w:b/>
          <w:color w:val="000000"/>
        </w:rPr>
        <w:t>5. Порядок предоставления субсидий победителям конкурса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tabs>
          <w:tab w:leader="none" w:pos="6804" w:val="left"/>
        </w:tabs>
        <w:ind w:firstLine="567" w:left="0" w:right="0"/>
        <w:rPr/>
      </w:pPr>
      <w:r>
        <w:rPr/>
        <w:t>5.1. С субъектом малого (среднего) предпринимательства (индивидуальным предпринима</w:t>
        <w:softHyphen/>
        <w:t>телем или юридическим лицом), признанным победителем конкурса, администрация заключает в соответ</w:t>
        <w:softHyphen/>
        <w:t>ствии с условиями настоящего Положения договор о предоставлении субсидии с обязательным включением в договор условия, обязывающего победителя конкурса в течение трёх лет после заключения договора ежеквартально до 25-го числа месяца, следующего за отчётным кварталом, представлять в администрацию сведения о хозяй</w:t>
        <w:softHyphen/>
        <w:t>ственной деятельности субъекта малого предпринимательства по форме согласно приложению № 6 к настоящему Положению, а ежегодно в срок до 01 апреля года, следующего за отчетным, ─ анкету получателя поддержки по форме согласно приложению № 7 к настоящему Положению и осуществлять предпринимательскую деятельность не менее трёх лет после заключения договора .</w:t>
      </w:r>
    </w:p>
    <w:p>
      <w:pPr>
        <w:pStyle w:val="style0"/>
        <w:ind w:firstLine="567" w:left="0" w:right="0"/>
        <w:rPr/>
      </w:pPr>
      <w:r>
        <w:rPr/>
        <w:t>5.2. Для заключения договора о предоставлении субсидии победитель конкурса в течение 30 дней после признания соискателя победителем конкурса, но не позднее 23 декабря текущего года, обязан предъявить секретарю конкурсной комиссии сведения о банковских реквизитах с указанием расчётного счёта получателя для перечисления субси</w:t>
        <w:softHyphen/>
        <w:t>дии.</w:t>
      </w:r>
    </w:p>
    <w:p>
      <w:pPr>
        <w:pStyle w:val="style0"/>
        <w:ind w:firstLine="567" w:left="0" w:right="0"/>
        <w:rPr>
          <w:rFonts w:cs="Times New Roman"/>
        </w:rPr>
      </w:pPr>
      <w:r>
        <w:rPr/>
        <w:t>5.3. Субсидии предоставляются в соответствии с настоящим Положением в пределах средств, фактически поступивших из бюджета Ленинградской области в доход бюджета муници</w:t>
        <w:softHyphen/>
        <w:t>пального образования на финансирование данного мероприятия Программы</w:t>
      </w:r>
      <w:r>
        <w:rPr>
          <w:rFonts w:cs="Times New Roman"/>
        </w:rPr>
        <w:t>.</w:t>
      </w:r>
    </w:p>
    <w:p>
      <w:pPr>
        <w:pStyle w:val="style227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(Примерная форма)</w:t>
      </w:r>
    </w:p>
    <w:p>
      <w:pPr>
        <w:pStyle w:val="style227"/>
        <w:widowControl/>
        <w:ind w:firstLine="540" w:left="0" w:right="0"/>
        <w:jc w:val="both"/>
        <w:rPr/>
      </w:pPr>
      <w:r>
        <w:rPr/>
      </w:r>
    </w:p>
    <w:p>
      <w:pPr>
        <w:pStyle w:val="style23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Председателю конкурсной комиссии при </w:t>
      </w:r>
    </w:p>
    <w:p>
      <w:pPr>
        <w:pStyle w:val="style0"/>
        <w:jc w:val="right"/>
        <w:rPr/>
      </w:pPr>
      <w:r>
        <w:rPr/>
        <w:t>администрации Сланцевского муниципального</w:t>
      </w:r>
    </w:p>
    <w:p>
      <w:pPr>
        <w:pStyle w:val="style0"/>
        <w:jc w:val="right"/>
        <w:rPr/>
      </w:pPr>
      <w:r>
        <w:rPr>
          <w:rFonts w:cs="Times New Roman" w:eastAsia="Times New Roman"/>
        </w:rPr>
        <w:t xml:space="preserve"> </w:t>
      </w:r>
      <w:r>
        <w:rPr/>
        <w:t xml:space="preserve">района ___________________________  </w:t>
        <w:tab/>
      </w:r>
    </w:p>
    <w:p>
      <w:pPr>
        <w:pStyle w:val="style230"/>
        <w:widowControl/>
        <w:jc w:val="right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(фамилия, инициалы)</w:t>
        <w:tab/>
      </w:r>
    </w:p>
    <w:p>
      <w:pPr>
        <w:pStyle w:val="style231"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 __________________________________</w:t>
      </w:r>
    </w:p>
    <w:p>
      <w:pPr>
        <w:pStyle w:val="style231"/>
        <w:widowControl/>
        <w:jc w:val="right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организации/фамилия, имя,</w:t>
      </w:r>
    </w:p>
    <w:p>
      <w:pPr>
        <w:pStyle w:val="style231"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</w:t>
      </w:r>
    </w:p>
    <w:p>
      <w:pPr>
        <w:pStyle w:val="style231"/>
        <w:widowControl/>
        <w:jc w:val="right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 </w:t>
      </w:r>
      <w:r>
        <w:rPr>
          <w:rFonts w:ascii="Times New Roman" w:cs="Times New Roman" w:hAnsi="Times New Roman"/>
          <w:i/>
          <w:iCs/>
        </w:rPr>
        <w:t>отчество индивидуального предпринимателя)</w:t>
      </w:r>
    </w:p>
    <w:p>
      <w:pPr>
        <w:pStyle w:val="style231"/>
        <w:widowControl/>
        <w:jc w:val="center"/>
        <w:rPr/>
      </w:pPr>
      <w:r>
        <w:rPr/>
      </w:r>
    </w:p>
    <w:p>
      <w:pPr>
        <w:pStyle w:val="style231"/>
        <w:widowControl/>
        <w:jc w:val="center"/>
        <w:rPr/>
      </w:pPr>
      <w:r>
        <w:rPr/>
      </w:r>
    </w:p>
    <w:p>
      <w:pPr>
        <w:pStyle w:val="style231"/>
        <w:widowControl/>
        <w:jc w:val="center"/>
        <w:rPr/>
      </w:pPr>
      <w:r>
        <w:rPr/>
      </w:r>
    </w:p>
    <w:p>
      <w:pPr>
        <w:pStyle w:val="style231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ЗАЯВЛЕНИЕ </w:t>
      </w:r>
    </w:p>
    <w:p>
      <w:pPr>
        <w:pStyle w:val="style231"/>
        <w:widowControl/>
        <w:rPr/>
      </w:pPr>
      <w:r>
        <w:rPr/>
      </w:r>
    </w:p>
    <w:p>
      <w:pPr>
        <w:pStyle w:val="style231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Прошу предоставить субсидию в размере ___________ (________________________________________________) рублей для компенсации части затрат,</w:t>
      </w:r>
    </w:p>
    <w:p>
      <w:pPr>
        <w:pStyle w:val="style231"/>
        <w:widowControl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ab/>
        <w:t>(сумма прописью)</w:t>
      </w:r>
    </w:p>
    <w:p>
      <w:pPr>
        <w:pStyle w:val="style231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связанных с </w:t>
      </w:r>
      <w:r>
        <w:rPr>
          <w:rFonts w:ascii="Times New Roman" w:cs="Times New Roman" w:hAnsi="Times New Roman"/>
          <w:color w:val="000000"/>
          <w:sz w:val="24"/>
          <w:szCs w:val="24"/>
        </w:rPr>
        <w:t>приобретением оборудования в целях создания и (или) развития, и (или) модерниза</w:t>
        <w:softHyphen/>
        <w:t>ции производства товаров</w:t>
      </w:r>
      <w:r>
        <w:rPr>
          <w:rFonts w:ascii="Times New Roman" w:cs="Times New Roman" w:hAnsi="Times New Roman"/>
          <w:sz w:val="24"/>
          <w:szCs w:val="24"/>
        </w:rPr>
        <w:t xml:space="preserve"> по договору(-ам) поставки оборудования от "___"_____________ 201___ года № _____.</w:t>
      </w:r>
    </w:p>
    <w:p>
      <w:pPr>
        <w:pStyle w:val="style231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Информация о соискателе (организации или индивидуальном предпринимателе), договоре(-ах) поставки оборудования и показателях финансово-хозяйственной деятельности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прилагает</w:t>
        <w:softHyphen/>
        <w:t>ся.</w:t>
      </w:r>
    </w:p>
    <w:p>
      <w:pPr>
        <w:pStyle w:val="style0"/>
        <w:ind w:firstLine="709" w:left="0" w:right="0"/>
        <w:rPr>
          <w:color w:val="000000"/>
        </w:rPr>
      </w:pPr>
      <w:r>
        <w:rPr/>
        <w:t>Государственную или муниципальную финансовую поддержку аналогичного вида, а также финансовую поддержку на компенсацию тех же самых затрат в соот</w:t>
        <w:softHyphen/>
        <w:t>ветствующих органах испол</w:t>
        <w:softHyphen/>
        <w:t>нительной власти</w:t>
      </w:r>
      <w:r>
        <w:rPr>
          <w:color w:val="FF0000"/>
          <w:sz w:val="28"/>
          <w:szCs w:val="28"/>
        </w:rPr>
        <w:t xml:space="preserve"> </w:t>
      </w:r>
      <w:r>
        <w:rPr/>
        <w:t>Ленинград</w:t>
        <w:softHyphen/>
        <w:t>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</w:rPr>
        <w:t>Сланцевского городского поселения, Сланцевского му</w:t>
        <w:softHyphen/>
        <w:t xml:space="preserve">ниципального района и в бюджетных организациях я/_________________________________________________________________________________ </w:t>
      </w:r>
    </w:p>
    <w:p>
      <w:pPr>
        <w:pStyle w:val="style0"/>
        <w:ind w:firstLine="709" w:left="0" w:right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(наименование организации)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получал(-о) в сумме _______________________ /не получал(-о) </w:t>
      </w:r>
      <w:r>
        <w:rPr>
          <w:i/>
          <w:iCs/>
          <w:color w:val="000000"/>
        </w:rPr>
        <w:t>(оста</w:t>
        <w:softHyphen/>
        <w:t>вить нужное)</w:t>
      </w:r>
      <w:r>
        <w:rPr>
          <w:color w:val="000000"/>
        </w:rPr>
        <w:t>.</w:t>
      </w:r>
    </w:p>
    <w:p>
      <w:pPr>
        <w:pStyle w:val="style231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Я/Мы осведомлен(-а/-ы) о том, что несу(-ем) ответственность за достоверность и</w:t>
      </w:r>
      <w:r>
        <w:rPr>
          <w:rFonts w:ascii="Times New Roman" w:cs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подлин</w:t>
        <w:softHyphen/>
        <w:t xml:space="preserve">ность представленных в конкурсную комиссию документов в соответствии с законодательством Российской Федерации. </w:t>
      </w:r>
    </w:p>
    <w:p>
      <w:pPr>
        <w:pStyle w:val="style231"/>
        <w:widowControl/>
        <w:ind w:firstLine="709" w:left="0" w:right="0"/>
        <w:rPr/>
      </w:pPr>
      <w:r>
        <w:rPr/>
      </w:r>
    </w:p>
    <w:p>
      <w:pPr>
        <w:pStyle w:val="style231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>
      <w:pPr>
        <w:pStyle w:val="style231"/>
        <w:widowControl/>
        <w:ind w:firstLine="2183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поставки оборудования — на __ л.</w:t>
      </w:r>
    </w:p>
    <w:p>
      <w:pPr>
        <w:pStyle w:val="style231"/>
        <w:widowControl/>
        <w:rPr/>
      </w:pPr>
      <w:r>
        <w:rPr/>
      </w:r>
    </w:p>
    <w:p>
      <w:pPr>
        <w:pStyle w:val="style231"/>
        <w:widowControl/>
        <w:rPr/>
      </w:pPr>
      <w:r>
        <w:rPr/>
      </w:r>
    </w:p>
    <w:p>
      <w:pPr>
        <w:pStyle w:val="style231"/>
        <w:widowControl/>
        <w:rPr/>
      </w:pPr>
      <w:r>
        <w:rPr/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Наименование субъекта малого/среднего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предпринимательства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</w:t>
        <w:tab/>
        <w:t xml:space="preserve"> ______________________</w:t>
        <w:tab/>
        <w:t>______________________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должности</w:t>
        <w:tab/>
        <w:tab/>
        <w:tab/>
        <w:t>(подпись)</w:t>
        <w:tab/>
        <w:tab/>
        <w:t xml:space="preserve">       (И.О. Фамилия)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231"/>
        <w:widowControl/>
        <w:ind w:firstLine="720" w:left="432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 года</w:t>
      </w:r>
    </w:p>
    <w:p>
      <w:pPr>
        <w:pStyle w:val="style231"/>
        <w:widowControl/>
        <w:ind w:firstLine="720" w:left="21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227"/>
        <w:widowControl/>
        <w:ind w:hanging="0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cs="Times New Roman" w:hAnsi="Times New Roman"/>
          <w:sz w:val="22"/>
          <w:szCs w:val="22"/>
        </w:rPr>
        <w:t>(при ее наличии)</w:t>
      </w:r>
    </w:p>
    <w:p>
      <w:pPr>
        <w:pStyle w:val="style227"/>
        <w:widowControl/>
        <w:ind w:hanging="0" w:left="0" w:right="0"/>
        <w:rPr/>
      </w:pPr>
      <w:r>
        <w:rPr/>
      </w:r>
    </w:p>
    <w:p>
      <w:pPr>
        <w:pStyle w:val="style0"/>
        <w:pageBreakBefore/>
        <w:jc w:val="right"/>
        <w:rPr/>
      </w:pPr>
      <w:r>
        <w:rPr/>
        <w:t>Приложение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Заявлению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(Форма)</w:t>
      </w:r>
    </w:p>
    <w:p>
      <w:pPr>
        <w:pStyle w:val="style227"/>
        <w:widowControl/>
        <w:ind w:firstLine="540" w:left="0" w:right="0"/>
        <w:jc w:val="right"/>
        <w:rPr/>
      </w:pPr>
      <w:r>
        <w:rPr/>
      </w:r>
    </w:p>
    <w:p>
      <w:pPr>
        <w:pStyle w:val="style227"/>
        <w:widowControl/>
        <w:ind w:firstLine="540" w:left="0" w:right="0"/>
        <w:jc w:val="both"/>
        <w:rPr/>
      </w:pPr>
      <w:r>
        <w:rPr/>
      </w:r>
    </w:p>
    <w:p>
      <w:pPr>
        <w:pStyle w:val="style227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Информация о соискателе (организации или индивидуальном предпринимателе)</w:t>
      </w:r>
    </w:p>
    <w:p>
      <w:pPr>
        <w:pStyle w:val="style227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 состоянию на "___"________201_ года</w:t>
      </w:r>
    </w:p>
    <w:p>
      <w:pPr>
        <w:pStyle w:val="style0"/>
        <w:ind w:firstLine="709" w:left="0" w:right="-649"/>
        <w:rPr/>
      </w:pPr>
      <w:r>
        <w:rPr/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6999"/>
        <w:gridCol w:w="3205"/>
      </w:tblGrid>
      <w:tr>
        <w:trPr>
          <w:trHeight w:hRule="atLeast" w:val="208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Муниципальное образование (поселение, го</w:t>
              <w:softHyphen/>
              <w:t>родской округ)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Сланцевское городское посе</w:t>
              <w:softHyphen/>
              <w:t>ление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факса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3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7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участия Российской Федерации, субъек</w:t>
              <w:softHyphen/>
              <w:t>тов Российской Феде</w:t>
              <w:softHyphen/>
              <w:t>рации, муниципальных об</w:t>
              <w:softHyphen/>
              <w:t>разований, иностранных юридических лиц, ино</w:t>
              <w:softHyphen/>
              <w:t>странных граждан, общественных и религи</w:t>
              <w:softHyphen/>
              <w:t>озных организа</w:t>
              <w:softHyphen/>
              <w:t>ций (объединений), благотвори</w:t>
              <w:softHyphen/>
              <w:t>тельных и иных фондов в уставном (складоч</w:t>
              <w:softHyphen/>
              <w:t>ном) капитале (паевом фонде) указан</w:t>
              <w:softHyphen/>
              <w:t>ных юри</w:t>
              <w:softHyphen/>
              <w:t>дических лиц, %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участия, принадлежащая одному или нескольким юридиче</w:t>
              <w:softHyphen/>
              <w:t>ским лицам, не являющим</w:t>
              <w:softHyphen/>
              <w:t>ся субъектами малого и среднего пред</w:t>
              <w:softHyphen/>
              <w:t>принимательства, %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550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32"/>
              <w:widowControl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trHeight w:hRule="atLeast" w:val="556"/>
          <w:cantSplit w:val="true"/>
        </w:trPr>
        <w:tc>
          <w:tcPr>
            <w:tcW w:type="dxa" w:w="69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тыс. руб.</w:t>
            </w:r>
          </w:p>
        </w:tc>
        <w:tc>
          <w:tcPr>
            <w:tcW w:type="dxa" w:w="3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227"/>
        <w:widowControl/>
        <w:ind w:hanging="0" w:left="0" w:right="0"/>
        <w:rPr/>
      </w:pPr>
      <w:r>
        <w:rPr/>
      </w:r>
    </w:p>
    <w:p>
      <w:pPr>
        <w:pStyle w:val="style227"/>
        <w:widowControl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Информация о договоре поставки оборудования</w:t>
      </w:r>
    </w:p>
    <w:p>
      <w:pPr>
        <w:pStyle w:val="style227"/>
        <w:widowControl/>
        <w:ind w:hanging="0" w:left="0" w:right="0"/>
        <w:rPr/>
      </w:pPr>
      <w:r>
        <w:rPr/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7075"/>
        <w:gridCol w:w="3129"/>
      </w:tblGrid>
      <w:tr>
        <w:trPr>
          <w:trHeight w:hRule="atLeast" w:val="24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Номер, дата договора поставки оборудования 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 получения оборудования по договору поставки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Общая стоимость оборудования (цена договора поставки), тыс. руб.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оплаты стоимости оборудования по договору поставки (цены договора)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Срок действия договора поставки оборудования </w:t>
            </w:r>
          </w:p>
        </w:tc>
        <w:tc>
          <w:tcPr>
            <w:tcW w:type="dxa" w:w="31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227"/>
        <w:widowControl/>
        <w:ind w:hanging="0" w:left="0" w:right="0"/>
        <w:rPr/>
      </w:pPr>
      <w:r>
        <w:rPr/>
      </w:r>
    </w:p>
    <w:p>
      <w:pPr>
        <w:pStyle w:val="style227"/>
        <w:widowControl/>
        <w:ind w:firstLine="709" w:left="0" w:right="-64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Показатели финансово-хозяйственной деятельности соискателя </w:t>
      </w:r>
    </w:p>
    <w:p>
      <w:pPr>
        <w:pStyle w:val="style227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состоянию на "___"________ 201_ года </w:t>
      </w:r>
    </w:p>
    <w:p>
      <w:pPr>
        <w:pStyle w:val="style227"/>
        <w:widowControl/>
        <w:ind w:firstLine="709" w:left="0" w:right="0"/>
        <w:jc w:val="both"/>
        <w:rPr/>
      </w:pPr>
      <w:r>
        <w:rPr/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10204"/>
      </w:tblGrid>
      <w:tr>
        <w:trPr>
          <w:trHeight w:hRule="atLeast" w:val="240"/>
          <w:cantSplit w:val="true"/>
        </w:trPr>
        <w:tc>
          <w:tcPr>
            <w:tcW w:type="dxa" w:w="10204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финансово-хозяйственная деятель</w:t>
              <w:softHyphen/>
              <w:t>ность</w:t>
            </w:r>
          </w:p>
        </w:tc>
        <w:tc>
          <w:tcPr>
            <w:tcW w:type="dxa" w:w="763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>
        <w:trPr>
          <w:trHeight w:hRule="atLeast" w:val="132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состоян</w:t>
              <w:softHyphen/>
              <w:t>ию на _______,</w:t>
            </w:r>
          </w:p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</w:t>
              <w:softHyphen/>
              <w:t>стоянию на _______,</w:t>
            </w:r>
          </w:p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(13 процентов), за исключением индиви</w:t>
              <w:softHyphen/>
              <w:t>дуальных предпринима</w:t>
              <w:softHyphen/>
              <w:t xml:space="preserve">телей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4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(13 процентов), зарегистрирован</w:t>
              <w:softHyphen/>
              <w:t>ных в ка</w:t>
              <w:softHyphen/>
              <w:t>честве индивидуальных предпринима</w:t>
              <w:softHyphen/>
              <w:t xml:space="preserve">телей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83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Общее количе</w:t>
              <w:softHyphen/>
              <w:t>ство ра</w:t>
              <w:softHyphen/>
              <w:t>бочих мест, ед.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8"/>
              <w:ind w:hanging="0" w:left="0" w:right="-7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Среднесписочная числен</w:t>
              <w:softHyphen/>
              <w:t>ность работни</w:t>
              <w:softHyphen/>
              <w:t>ков, чел.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создан</w:t>
              <w:softHyphen/>
              <w:t>ных новых ра</w:t>
              <w:softHyphen/>
              <w:t>бочих мест, ед.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работников, занятых на вновь создан</w:t>
              <w:softHyphen/>
              <w:t>ных ра</w:t>
              <w:softHyphen/>
              <w:t>бочих местах, ед.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месяч</w:t>
              <w:softHyphen/>
              <w:t>ная заработ</w:t>
              <w:softHyphen/>
              <w:t>ная плата ра</w:t>
              <w:softHyphen/>
              <w:t>ботников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имущество физических лиц (ин</w:t>
              <w:softHyphen/>
              <w:t>дивидуальных предприни</w:t>
              <w:softHyphen/>
              <w:t>мателей)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25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type="dxa" w:w="251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52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type="dxa" w:w="251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56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Пенсионный фонд </w:t>
            </w:r>
          </w:p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546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Фонд социального страхования Рос</w:t>
              <w:softHyphen/>
              <w:t xml:space="preserve">сийской Федерации 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56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Федеральный фонд обязательно</w:t>
              <w:softHyphen/>
              <w:t>го ме</w:t>
              <w:softHyphen/>
              <w:t xml:space="preserve">дицинского страхования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территориальные фонды обяза</w:t>
              <w:softHyphen/>
              <w:t>тельного медицинского страхова</w:t>
              <w:softHyphen/>
              <w:t>ния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налог, взимаемый в связи с при</w:t>
              <w:softHyphen/>
              <w:t>менением упрощенной си</w:t>
              <w:softHyphen/>
              <w:t>стемы налого</w:t>
              <w:softHyphen/>
              <w:t xml:space="preserve">обложения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Инвестиции в основ</w:t>
              <w:softHyphen/>
              <w:t>ной капи</w:t>
              <w:softHyphen/>
              <w:t>тал всего,</w:t>
            </w:r>
          </w:p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сельскохозяйственный на</w:t>
              <w:softHyphen/>
              <w:t xml:space="preserve">лог 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type="dxa" w:w="2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type="dxa" w:w="2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231"/>
        <w:widowControl/>
        <w:ind w:hanging="0" w:left="-180" w:right="0"/>
        <w:rPr/>
      </w:pPr>
      <w:r>
        <w:rPr/>
      </w:r>
    </w:p>
    <w:p>
      <w:pPr>
        <w:pStyle w:val="style231"/>
        <w:widowControl/>
        <w:rPr/>
      </w:pPr>
      <w:r>
        <w:rPr/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</w:t>
        <w:tab/>
        <w:t xml:space="preserve"> ______________________</w:t>
        <w:tab/>
        <w:t>______________________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должности</w:t>
        <w:tab/>
        <w:tab/>
        <w:tab/>
        <w:t>(подпись)</w:t>
        <w:tab/>
        <w:tab/>
        <w:t xml:space="preserve">       (И.О. Фамилия)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231"/>
        <w:widowControl/>
        <w:ind w:firstLine="141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 года</w:t>
      </w:r>
    </w:p>
    <w:p>
      <w:pPr>
        <w:pStyle w:val="style231"/>
        <w:widowControl/>
        <w:ind w:firstLine="720" w:left="21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231"/>
        <w:widowControl/>
        <w:ind w:firstLine="720" w:left="144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</w:rPr>
        <w:t>(при ее наличии)</w:t>
      </w:r>
    </w:p>
    <w:p>
      <w:pPr>
        <w:sectPr>
          <w:type w:val="nextPage"/>
          <w:pgSz w:h="16838" w:w="11906"/>
          <w:pgMar w:bottom="1134" w:footer="0" w:gutter="0" w:header="0" w:left="1134" w:right="567" w:top="720"/>
          <w:pgNumType w:fmt="decimal"/>
          <w:formProt w:val="false"/>
          <w:textDirection w:val="lrTb"/>
          <w:docGrid w:charSpace="0" w:linePitch="360" w:type="default"/>
        </w:sectPr>
        <w:pStyle w:val="style227"/>
        <w:widowControl/>
        <w:ind w:hanging="0" w:left="0" w:right="0"/>
        <w:jc w:val="right"/>
        <w:rPr/>
      </w:pPr>
      <w:r>
        <w:rPr/>
      </w:r>
    </w:p>
    <w:p>
      <w:pPr>
        <w:pStyle w:val="style227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(Примерная форма)</w:t>
      </w:r>
    </w:p>
    <w:p>
      <w:pPr>
        <w:pStyle w:val="style239"/>
        <w:jc w:val="center"/>
        <w:rPr/>
      </w:pPr>
      <w:r>
        <w:rPr/>
      </w:r>
    </w:p>
    <w:p>
      <w:pPr>
        <w:pStyle w:val="style239"/>
        <w:jc w:val="center"/>
        <w:rPr>
          <w:rFonts w:ascii="Times New Roman" w:cs="Times New Roman" w:hAnsi="Times New Roman"/>
          <w:b/>
          <w:bCs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Справка-подтверждение</w:t>
      </w:r>
    </w:p>
    <w:p>
      <w:pPr>
        <w:pStyle w:val="style239"/>
        <w:jc w:val="center"/>
        <w:rPr>
          <w:rFonts w:ascii="Times New Roman" w:cs="Times New Roman" w:hAnsi="Times New Roman"/>
          <w:b/>
          <w:bCs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основного вида экономической деятельности</w:t>
      </w:r>
    </w:p>
    <w:p>
      <w:pPr>
        <w:pStyle w:val="style239"/>
        <w:rPr/>
      </w:pPr>
      <w:r>
        <w:rPr/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2. ИНН _____________________________________________________________________________</w:t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4. Дата начала хозяйственной деятельности ______________________________________________</w:t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5. Среднесписочная численность работающих за последний отчетный период _________________</w:t>
      </w:r>
    </w:p>
    <w:p>
      <w:pPr>
        <w:pStyle w:val="style239"/>
        <w:rPr>
          <w:rStyle w:val="style205"/>
          <w:rFonts w:ascii="Times New Roman" w:cs="Times New Roman" w:hAnsi="Times New Roman"/>
          <w:color w:val="00000A"/>
          <w:sz w:val="24"/>
          <w:u w:val="none"/>
        </w:rPr>
      </w:pPr>
      <w:r>
        <w:rPr>
          <w:rFonts w:ascii="Times New Roman" w:cs="Times New Roman" w:hAnsi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style205"/>
          <w:rFonts w:ascii="Times New Roman" w:cs="Times New Roman" w:hAnsi="Times New Roman"/>
          <w:color w:val="00000A"/>
          <w:sz w:val="24"/>
          <w:u w:val="none"/>
        </w:rPr>
        <w:t>&lt;1&gt;:</w:t>
      </w:r>
    </w:p>
    <w:p>
      <w:pPr>
        <w:pStyle w:val="style239"/>
        <w:rPr/>
      </w:pPr>
      <w:r>
        <w:rPr/>
      </w:r>
    </w:p>
    <w:tbl>
      <w:tblPr>
        <w:tblW w:type="dxa" w:w="10205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699"/>
        <w:gridCol w:w="1700"/>
        <w:gridCol w:w="1698"/>
        <w:gridCol w:w="1700"/>
        <w:gridCol w:w="1699"/>
        <w:gridCol w:w="1708"/>
      </w:tblGrid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  <w:softHyphen/>
              <w:t>щих</w:t>
            </w:r>
          </w:p>
          <w:p>
            <w:pPr>
              <w:pStyle w:val="style228"/>
              <w:jc w:val="center"/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jc w:val="center"/>
              <w:rPr>
                <w:rStyle w:val="style205"/>
                <w:rFonts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style205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22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Наименован</w:t>
              <w:softHyphen/>
              <w:t>ие вида экономичес</w:t>
              <w:softHyphen/>
              <w:t>кой деятельности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228"/>
              <w:jc w:val="center"/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До</w:t>
              <w:softHyphen/>
              <w:t>ходы по виду экономической деятельности, соответс</w:t>
              <w:softHyphen/>
              <w:t xml:space="preserve">твующие коду </w:t>
            </w:r>
            <w:r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>
            <w:pPr>
              <w:pStyle w:val="style22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228"/>
              <w:jc w:val="center"/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Целе</w:t>
              <w:softHyphen/>
              <w:t>вые поступлен</w:t>
              <w:softHyphen/>
              <w:t>ия и финансирование</w:t>
            </w:r>
          </w:p>
          <w:p>
            <w:pPr>
              <w:pStyle w:val="style22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(включая бюджет</w:t>
              <w:softHyphen/>
              <w:t>ное финансиров</w:t>
              <w:softHyphen/>
              <w:t>ание,</w:t>
            </w:r>
          </w:p>
          <w:p>
            <w:pPr>
              <w:pStyle w:val="style22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гранты и т. п.),</w:t>
            </w:r>
          </w:p>
          <w:p>
            <w:pPr>
              <w:pStyle w:val="style228"/>
              <w:jc w:val="center"/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205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235"/>
              <w:jc w:val="center"/>
              <w:rPr>
                <w:rStyle w:val="style205"/>
                <w:rFonts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205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  <w:softHyphen/>
              <w:t>ному виду экономичес</w:t>
              <w:softHyphen/>
              <w:t>кой деятельнос</w:t>
              <w:softHyphen/>
              <w:t>ти, в общем объеме выпу</w:t>
              <w:softHyphen/>
              <w:t>щенной продук</w:t>
              <w:softHyphen/>
              <w:t>ции и оказан</w:t>
              <w:softHyphen/>
              <w:t>ных услуг (%)</w:t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099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right"/>
              <w:rPr/>
            </w:pPr>
            <w:r>
              <w:rPr/>
              <w:t>ИТОГО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</w:r>
          </w:p>
        </w:tc>
        <w:tc>
          <w:tcPr>
            <w:tcW w:type="dxa" w:w="1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  <w:t>7. Наименование основного вида экономической деятельности _____________________________</w:t>
      </w:r>
    </w:p>
    <w:p>
      <w:pPr>
        <w:pStyle w:val="style0"/>
        <w:rPr/>
      </w:pPr>
      <w:r>
        <w:rPr/>
        <w:t>____________________________________________________________________________________</w:t>
      </w:r>
    </w:p>
    <w:p>
      <w:pPr>
        <w:pStyle w:val="style0"/>
        <w:rPr/>
      </w:pPr>
      <w:r>
        <w:rPr/>
      </w:r>
    </w:p>
    <w:p>
      <w:pPr>
        <w:pStyle w:val="style238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Код по </w:t>
      </w:r>
      <w:r>
        <w:rPr>
          <w:rStyle w:val="style205"/>
          <w:rFonts w:ascii="Times New Roman" w:cs="Times New Roman" w:hAnsi="Times New Roman"/>
          <w:color w:val="00000A"/>
          <w:sz w:val="24"/>
          <w:u w:val="none"/>
        </w:rPr>
        <w:t>ОКВЭД</w:t>
      </w:r>
      <w:r>
        <w:rPr>
          <w:rFonts w:ascii="Times New Roman" w:cs="Times New Roman" w:hAnsi="Times New Roman"/>
          <w:sz w:val="24"/>
        </w:rPr>
        <w:t xml:space="preserve"> </w:t>
      </w:r>
    </w:p>
    <w:tbl>
      <w:tblPr>
        <w:tblW w:type="dxa" w:w="10205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259"/>
        <w:gridCol w:w="1279"/>
        <w:gridCol w:w="1260"/>
        <w:gridCol w:w="1279"/>
        <w:gridCol w:w="1260"/>
        <w:gridCol w:w="1279"/>
        <w:gridCol w:w="1260"/>
        <w:gridCol w:w="1327"/>
      </w:tblGrid>
      <w:tr>
        <w:trPr>
          <w:cantSplit w:val="true"/>
        </w:trPr>
        <w:tc>
          <w:tcPr>
            <w:tcW w:type="dxa" w:w="12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2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2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2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2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2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2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  <w:tc>
          <w:tcPr>
            <w:tcW w:type="dxa" w:w="13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5"/>
              <w:rPr/>
            </w:pPr>
            <w:r>
              <w:rPr/>
            </w:r>
          </w:p>
        </w:tc>
      </w:tr>
    </w:tbl>
    <w:p>
      <w:pPr>
        <w:pStyle w:val="style228"/>
        <w:jc w:val="both"/>
        <w:rPr/>
      </w:pPr>
      <w:r>
        <w:rPr/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Руководитель организации</w:t>
        <w:tab/>
        <w:tab/>
        <w:tab/>
        <w:t xml:space="preserve">            ____________ _____________________</w:t>
      </w:r>
    </w:p>
    <w:p>
      <w:pPr>
        <w:pStyle w:val="style239"/>
        <w:rPr>
          <w:rFonts w:ascii="Times New Roman" w:cs="Times New Roman" w:hAnsi="Times New Roman"/>
          <w:i/>
          <w:iCs/>
          <w:sz w:val="24"/>
        </w:rPr>
      </w:pPr>
      <w:r>
        <w:rPr>
          <w:rFonts w:ascii="Times New Roman" w:cs="Times New Roman" w:hAnsi="Times New Roman"/>
          <w:sz w:val="24"/>
        </w:rPr>
        <w:t>(индивидуальный предприниматель)</w:t>
        <w:tab/>
      </w:r>
      <w:r>
        <w:rPr>
          <w:rFonts w:ascii="Times New Roman" w:cs="Times New Roman" w:hAnsi="Times New Roman"/>
          <w:i/>
          <w:iCs/>
          <w:sz w:val="24"/>
        </w:rPr>
        <w:tab/>
        <w:t xml:space="preserve">(подпись) </w:t>
        <w:tab/>
        <w:t>(расшифровка подписи)</w:t>
      </w:r>
    </w:p>
    <w:p>
      <w:pPr>
        <w:pStyle w:val="style239"/>
        <w:rPr/>
      </w:pPr>
      <w:r>
        <w:rPr/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Главный бухгалтер</w:t>
        <w:tab/>
        <w:tab/>
        <w:tab/>
        <w:tab/>
        <w:tab/>
        <w:t>____________ _____________________</w:t>
      </w:r>
    </w:p>
    <w:p>
      <w:pPr>
        <w:pStyle w:val="style239"/>
        <w:rPr>
          <w:rFonts w:ascii="Times New Roman" w:cs="Times New Roman" w:hAnsi="Times New Roman"/>
          <w:i/>
          <w:iCs/>
          <w:sz w:val="24"/>
        </w:rPr>
      </w:pPr>
      <w:r>
        <w:rPr>
          <w:rFonts w:ascii="Times New Roman" w:cs="Times New Roman" w:hAnsi="Times New Roman"/>
          <w:i/>
          <w:iCs/>
          <w:sz w:val="24"/>
        </w:rPr>
        <w:tab/>
        <w:tab/>
        <w:tab/>
        <w:tab/>
        <w:tab/>
        <w:tab/>
        <w:tab/>
        <w:t xml:space="preserve">(подпись) </w:t>
        <w:tab/>
        <w:t>(расшифровка подписи)</w:t>
      </w:r>
    </w:p>
    <w:p>
      <w:pPr>
        <w:pStyle w:val="style2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ab/>
        <w:tab/>
        <w:t>М.П.</w:t>
      </w:r>
    </w:p>
    <w:p>
      <w:pPr>
        <w:pStyle w:val="style228"/>
        <w:jc w:val="both"/>
        <w:rPr/>
      </w:pPr>
      <w:r>
        <w:rPr/>
      </w:r>
    </w:p>
    <w:p>
      <w:pPr>
        <w:pStyle w:val="style228"/>
        <w:jc w:val="both"/>
        <w:rPr/>
      </w:pPr>
      <w:r>
        <w:rPr/>
      </w:r>
    </w:p>
    <w:p>
      <w:pPr>
        <w:pStyle w:val="style228"/>
        <w:jc w:val="both"/>
        <w:rPr/>
      </w:pPr>
      <w:r>
        <w:rPr/>
      </w:r>
    </w:p>
    <w:p>
      <w:pPr>
        <w:pStyle w:val="style228"/>
        <w:ind w:firstLine="540" w:left="0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__________________________________________</w:t>
      </w:r>
    </w:p>
    <w:p>
      <w:pPr>
        <w:pStyle w:val="style228"/>
        <w:ind w:firstLine="540" w:left="0" w:right="0"/>
        <w:jc w:val="both"/>
        <w:rPr>
          <w:rFonts w:ascii="Times New Roman" w:cs="Times New Roman" w:hAnsi="Times New Roman"/>
          <w:sz w:val="24"/>
        </w:rPr>
      </w:pPr>
      <w:bookmarkStart w:id="1" w:name="Par944"/>
      <w:bookmarkEnd w:id="1"/>
      <w:r>
        <w:rPr>
          <w:rFonts w:ascii="Times New Roman" w:cs="Times New Roman" w:hAnsi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>
      <w:pPr>
        <w:sectPr>
          <w:type w:val="nextPage"/>
          <w:pgSz w:h="16838" w:w="11906"/>
          <w:pgMar w:bottom="720" w:footer="0" w:gutter="0" w:header="0" w:left="1134" w:right="567" w:top="720"/>
          <w:pgNumType w:fmt="decimal"/>
          <w:formProt w:val="false"/>
          <w:textDirection w:val="lrTb"/>
          <w:docGrid w:charSpace="0" w:linePitch="360" w:type="default"/>
        </w:sectPr>
        <w:pStyle w:val="style228"/>
        <w:ind w:firstLine="540" w:left="0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&lt;2&gt; Заполняется некоммерческими организациями.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3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</w:rPr>
      </w:pPr>
      <w:r>
        <w:rPr>
          <w:bCs/>
        </w:rPr>
        <w:t>(Форма)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Журнал регистрации</w:t>
      </w:r>
    </w:p>
    <w:p>
      <w:pPr>
        <w:pStyle w:val="style230"/>
        <w:jc w:val="center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bCs/>
        </w:rPr>
        <w:t xml:space="preserve">заявок </w:t>
      </w:r>
      <w:r>
        <w:rPr>
          <w:rFonts w:ascii="Times New Roman" w:cs="Times New Roman" w:hAnsi="Times New Roman"/>
          <w:b/>
          <w:color w:val="000000"/>
        </w:rPr>
        <w:t xml:space="preserve">субъектов малого и среднего предпринимательства </w:t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color w:val="000000"/>
        </w:rPr>
        <w:t>(</w:t>
      </w:r>
      <w:r>
        <w:rPr>
          <w:rFonts w:ascii="Times New Roman" w:cs="Times New Roman" w:hAnsi="Times New Roman"/>
          <w:b/>
          <w:bCs/>
        </w:rPr>
        <w:t>соискателей) на участие в конкурсном отборе</w:t>
      </w:r>
    </w:p>
    <w:p>
      <w:pPr>
        <w:pStyle w:val="style231"/>
        <w:widowControl/>
        <w:rPr/>
      </w:pPr>
      <w:r>
        <w:rPr/>
      </w:r>
    </w:p>
    <w:p>
      <w:pPr>
        <w:pStyle w:val="style231"/>
        <w:widowControl/>
        <w:jc w:val="right"/>
        <w:rPr/>
      </w:pPr>
      <w:r>
        <w:rPr/>
      </w:r>
    </w:p>
    <w:tbl>
      <w:tblPr>
        <w:tblW w:type="dxa" w:w="15137"/>
        <w:jc w:val="left"/>
        <w:tblInd w:type="dxa" w:w="93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67"/>
        <w:gridCol w:w="1163"/>
        <w:gridCol w:w="2636"/>
        <w:gridCol w:w="2136"/>
        <w:gridCol w:w="1186"/>
        <w:gridCol w:w="2453"/>
        <w:gridCol w:w="1523"/>
        <w:gridCol w:w="1650"/>
        <w:gridCol w:w="1821"/>
      </w:tblGrid>
      <w:tr>
        <w:trPr>
          <w:trHeight w:hRule="atLeast" w:val="2170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rFonts w:cs="Times New Roman" w:eastAsia="Times New Roman"/>
                <w:sz w:val="20"/>
                <w:szCs w:val="20"/>
              </w:rPr>
            </w:pPr>
            <w:r>
              <w:rPr>
                <w:rFonts w:cs="Times New Roman" w:eastAsia="Times New Roman"/>
                <w:sz w:val="20"/>
                <w:szCs w:val="20"/>
              </w:rPr>
              <w:t>№</w:t>
            </w:r>
          </w:p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W w:type="dxa" w:w="11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Дата по</w:t>
              <w:softHyphen/>
              <w:t>ступления заяв</w:t>
              <w:softHyphen/>
              <w:t>ки</w:t>
            </w:r>
          </w:p>
        </w:tc>
        <w:tc>
          <w:tcPr>
            <w:tcW w:type="dxa" w:w="263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(Ф.И.О. - для физического лица)</w:t>
            </w:r>
          </w:p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соискателя</w:t>
            </w:r>
          </w:p>
        </w:tc>
        <w:tc>
          <w:tcPr>
            <w:tcW w:type="dxa" w:w="213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Место веде</w:t>
              <w:softHyphen/>
              <w:t>ния бизнес</w:t>
              <w:softHyphen/>
              <w:t>а (нахо</w:t>
              <w:softHyphen/>
              <w:t>ждения/регистрац</w:t>
              <w:softHyphen/>
              <w:t>ии)</w:t>
            </w:r>
          </w:p>
        </w:tc>
        <w:tc>
          <w:tcPr>
            <w:tcW w:type="dxa" w:w="118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Дата реги</w:t>
              <w:softHyphen/>
              <w:t>страции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Основ</w:t>
              <w:softHyphen/>
              <w:t>ной вид деятель</w:t>
              <w:softHyphen/>
              <w:t>ности)</w:t>
            </w:r>
          </w:p>
        </w:tc>
        <w:tc>
          <w:tcPr>
            <w:tcW w:type="dxa" w:w="15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Относится ли биз</w:t>
              <w:softHyphen/>
              <w:t>нес к прио</w:t>
              <w:softHyphen/>
              <w:t>ритетным ви</w:t>
              <w:softHyphen/>
              <w:t>дам деятельно</w:t>
              <w:softHyphen/>
              <w:t>сти</w:t>
            </w:r>
          </w:p>
        </w:tc>
        <w:tc>
          <w:tcPr>
            <w:tcW w:type="dxa" w:w="16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сумма  затрат (до</w:t>
              <w:softHyphen/>
              <w:t>говора по</w:t>
              <w:softHyphen/>
              <w:t>ставки обору</w:t>
              <w:softHyphen/>
              <w:t>дования),</w:t>
            </w:r>
          </w:p>
          <w:p>
            <w:pPr>
              <w:pStyle w:val="style0"/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type="dxa" w:w="182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Запраши</w:t>
              <w:softHyphen/>
              <w:t>ваемый размер суб</w:t>
              <w:softHyphen/>
              <w:t xml:space="preserve">сидии, </w:t>
            </w:r>
          </w:p>
          <w:p>
            <w:pPr>
              <w:pStyle w:val="style0"/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rPr/>
            </w:pPr>
            <w:r>
              <w:rPr/>
            </w:r>
          </w:p>
        </w:tc>
        <w:tc>
          <w:tcPr>
            <w:tcW w:type="dxa" w:w="11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26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21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11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1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1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  <w:tc>
          <w:tcPr>
            <w:tcW w:type="dxa" w:w="18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right"/>
              <w:rPr/>
            </w:pPr>
            <w:r>
              <w:rPr/>
            </w:r>
          </w:p>
        </w:tc>
      </w:tr>
    </w:tbl>
    <w:p>
      <w:pPr>
        <w:pStyle w:val="style231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4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Положению...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(Форма)</w:t>
      </w:r>
    </w:p>
    <w:p>
      <w:pPr>
        <w:pStyle w:val="style231"/>
        <w:widowControl/>
        <w:jc w:val="right"/>
        <w:rPr/>
      </w:pPr>
      <w:r>
        <w:rPr/>
      </w:r>
    </w:p>
    <w:p>
      <w:pPr>
        <w:pStyle w:val="style231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РЕЕСТР</w:t>
      </w:r>
    </w:p>
    <w:p>
      <w:pPr>
        <w:pStyle w:val="style231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соискателей, прошедших конкурсный отбор</w:t>
      </w:r>
    </w:p>
    <w:p>
      <w:pPr>
        <w:pStyle w:val="style231"/>
        <w:widowControl/>
        <w:jc w:val="center"/>
        <w:rPr/>
      </w:pPr>
      <w:r>
        <w:rPr/>
      </w:r>
    </w:p>
    <w:p>
      <w:pPr>
        <w:pStyle w:val="style231"/>
        <w:widowControl/>
        <w:rPr/>
      </w:pPr>
      <w:r>
        <w:rPr/>
      </w:r>
    </w:p>
    <w:tbl>
      <w:tblPr>
        <w:tblW w:type="dxa" w:w="15137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62"/>
        <w:gridCol w:w="1064"/>
        <w:gridCol w:w="1858"/>
        <w:gridCol w:w="2137"/>
        <w:gridCol w:w="1337"/>
        <w:gridCol w:w="1271"/>
        <w:gridCol w:w="1060"/>
        <w:gridCol w:w="2040"/>
        <w:gridCol w:w="1078"/>
        <w:gridCol w:w="2428"/>
      </w:tblGrid>
      <w:tr>
        <w:trPr>
          <w:cantSplit w:val="true"/>
        </w:trPr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type="dxa" w:w="1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Размер суб</w:t>
              <w:softHyphen/>
              <w:t>сидии, руб.</w:t>
            </w:r>
          </w:p>
        </w:tc>
        <w:tc>
          <w:tcPr>
            <w:tcW w:type="dxa" w:w="2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</w:t>
              <w:softHyphen/>
              <w:t>ние соиска</w:t>
              <w:softHyphen/>
              <w:t>теля</w:t>
            </w:r>
          </w:p>
        </w:tc>
        <w:tc>
          <w:tcPr>
            <w:tcW w:type="dxa" w:w="1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type="dxa" w:w="2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</w:t>
              <w:softHyphen/>
              <w:t>вание банка</w:t>
            </w:r>
          </w:p>
        </w:tc>
        <w:tc>
          <w:tcPr>
            <w:tcW w:type="dxa" w:w="1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type="dxa" w:w="2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231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Корр. счет</w:t>
            </w:r>
          </w:p>
        </w:tc>
      </w:tr>
      <w:tr>
        <w:trPr>
          <w:cantSplit w:val="true"/>
        </w:trPr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1"/>
              <w:widowControl/>
              <w:ind w:firstLine="720" w:left="0" w:right="0"/>
              <w:rPr/>
            </w:pPr>
            <w:r>
              <w:rPr/>
            </w:r>
          </w:p>
        </w:tc>
      </w:tr>
    </w:tbl>
    <w:p>
      <w:pPr>
        <w:pStyle w:val="style231"/>
        <w:widowControl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Председатель конкурсной комиссии</w:t>
      </w:r>
    </w:p>
    <w:p>
      <w:pPr>
        <w:pStyle w:val="style231"/>
        <w:widowControl/>
        <w:ind w:firstLine="567" w:left="0" w:right="0"/>
        <w:rPr/>
      </w:pPr>
      <w:r>
        <w:rPr/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</w:t>
        <w:tab/>
        <w:tab/>
        <w:t xml:space="preserve">_________________________________ 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(подпись)</w:t>
        <w:tab/>
        <w:tab/>
        <w:tab/>
        <w:tab/>
        <w:t xml:space="preserve"> (инициалы, фамилия)</w:t>
      </w:r>
    </w:p>
    <w:p>
      <w:pPr>
        <w:pStyle w:val="style231"/>
        <w:widowControl/>
        <w:ind w:firstLine="567" w:left="0" w:right="0"/>
        <w:jc w:val="both"/>
        <w:rPr/>
      </w:pPr>
      <w:r>
        <w:rPr/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201__ года</w:t>
      </w:r>
    </w:p>
    <w:p>
      <w:pPr>
        <w:sectPr>
          <w:type w:val="nextPage"/>
          <w:pgSz w:h="11906" w:orient="landscape" w:w="16838"/>
          <w:pgMar w:bottom="720" w:footer="0" w:gutter="0" w:header="0" w:left="1134" w:right="567" w:top="709"/>
          <w:pgNumType w:fmt="decimal"/>
          <w:formProt w:val="false"/>
          <w:textDirection w:val="lrTb"/>
          <w:docGrid w:charSpace="-8193" w:linePitch="360" w:type="default"/>
        </w:sectPr>
        <w:pStyle w:val="style231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1"/>
        <w:pageBreakBefore/>
        <w:widowControl/>
        <w:jc w:val="right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Приложение № </w:t>
      </w:r>
      <w:r>
        <w:rPr>
          <w:rFonts w:ascii="Times New Roman" w:cs="Times New Roman" w:hAnsi="Times New Roman"/>
          <w:bCs/>
          <w:sz w:val="24"/>
          <w:szCs w:val="24"/>
        </w:rPr>
        <w:t>5</w:t>
      </w:r>
    </w:p>
    <w:p>
      <w:pPr>
        <w:pStyle w:val="style0"/>
        <w:jc w:val="right"/>
        <w:rPr>
          <w:bCs/>
          <w:color w:val="000000"/>
        </w:rPr>
      </w:pPr>
      <w:r>
        <w:rPr>
          <w:bCs/>
        </w:rPr>
        <w:t>к</w:t>
      </w:r>
      <w:r>
        <w:rPr>
          <w:bCs/>
          <w:color w:val="000000"/>
        </w:rPr>
        <w:t xml:space="preserve"> </w:t>
      </w:r>
      <w:r>
        <w:rPr>
          <w:rStyle w:val="style205"/>
          <w:color w:val="000000"/>
          <w:u w:val="none"/>
        </w:rPr>
        <w:t>Положению</w:t>
      </w:r>
      <w:r>
        <w:rPr>
          <w:bCs/>
          <w:color w:val="000000"/>
        </w:rPr>
        <w:t>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(Примерная форма)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Договор N ____</w:t>
      </w:r>
    </w:p>
    <w:p>
      <w:pPr>
        <w:pStyle w:val="style0"/>
        <w:rPr/>
      </w:pPr>
      <w:r>
        <w:rPr/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"____" ____________ 201__ года</w:t>
        <w:tab/>
        <w:tab/>
        <w:tab/>
        <w:tab/>
        <w:tab/>
        <w:tab/>
        <w:tab/>
        <w:t xml:space="preserve"> г. Сланцы</w:t>
      </w:r>
    </w:p>
    <w:p>
      <w:pPr>
        <w:pStyle w:val="style0"/>
        <w:rPr/>
      </w:pPr>
      <w:r>
        <w:rPr/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</w:t>
        <w:softHyphen/>
        <w:t>ский муниципальный район Ленин</w:t>
        <w:softHyphen/>
        <w:t xml:space="preserve">градской области (далее – администрация) в лице </w:t>
      </w:r>
      <w:bookmarkStart w:id="2" w:name="__DdeLink__3105_2180841682"/>
      <w:r>
        <w:rPr>
          <w:rFonts w:ascii="Times New Roman" w:cs="Times New Roman" w:hAnsi="Times New Roman"/>
        </w:rPr>
        <w:t>исполняющего обязанно</w:t>
        <w:softHyphen/>
        <w:t>сти</w:t>
      </w:r>
      <w:bookmarkEnd w:id="2"/>
      <w:r>
        <w:rPr>
          <w:rFonts w:ascii="Times New Roman" w:cs="Times New Roman" w:hAnsi="Times New Roman"/>
        </w:rPr>
        <w:t xml:space="preserve"> главы администра</w:t>
        <w:softHyphen/>
        <w:t>ции Сланцевского муниципально</w:t>
        <w:softHyphen/>
        <w:t>го района Александра Алек</w:t>
        <w:softHyphen/>
        <w:t>сандровича Хоперского, действующе</w:t>
        <w:softHyphen/>
        <w:t>го на основа</w:t>
        <w:softHyphen/>
        <w:t>нии Положения об администрации Сланцевского муниципального района, ре</w:t>
        <w:softHyphen/>
        <w:t>шения совета депутатов Сланцевского го</w:t>
        <w:softHyphen/>
        <w:t>родского поселения от 14.08.2013 № 440-гсд «О передаче части полномочий по реше</w:t>
        <w:softHyphen/>
        <w:t>нию вопросов местного зна</w:t>
        <w:softHyphen/>
        <w:t>чения муниципального образования Сланцевское го</w:t>
        <w:softHyphen/>
        <w:t>родское поселение Сланцев</w:t>
        <w:softHyphen/>
        <w:t>ского муниципального района Ленинградской области», решения со</w:t>
        <w:softHyphen/>
        <w:t>вета депута</w:t>
        <w:softHyphen/>
        <w:t>тов Сланцевского муниципального района от 20.08.2013 № 483-рсд «О приеме к компе</w:t>
        <w:softHyphen/>
        <w:t>тенции Сланцевского муниципального района осуще</w:t>
        <w:softHyphen/>
        <w:t>ствления части пол</w:t>
        <w:softHyphen/>
        <w:t>номочий по решению во</w:t>
        <w:softHyphen/>
        <w:t>просов местного значения муниципаль</w:t>
        <w:softHyphen/>
        <w:t>ного образова</w:t>
        <w:softHyphen/>
        <w:t>ния Сланцевское городское поселение Слан</w:t>
        <w:softHyphen/>
        <w:t>цевского муниципального района Ленинградской области» и соглашения от 27.08.2013 № 1 «О передаче части полномочий по решению вопросов местного значения муниципального образова</w:t>
        <w:softHyphen/>
        <w:t>ния Сланцевское городское поселение Сланцевского муниципального района Ленинградской обла</w:t>
        <w:softHyphen/>
        <w:t>сти», от имени муниципального образования Сланцевское городское поселение Сланцевского му</w:t>
        <w:softHyphen/>
        <w:t>ниципального района Ленинградской области, с одной стороны, и__________________________________________________________________</w:t>
      </w:r>
    </w:p>
    <w:p>
      <w:pPr>
        <w:pStyle w:val="style0"/>
        <w:ind w:firstLine="567" w:left="0" w:right="0"/>
        <w:rPr>
          <w:i/>
          <w:iCs/>
          <w:sz w:val="21"/>
          <w:szCs w:val="21"/>
        </w:rPr>
      </w:pPr>
      <w:r>
        <w:rPr>
          <w:rFonts w:cs="Times New Roman" w:eastAsia="Times New Roman"/>
          <w:i/>
          <w:iCs/>
        </w:rPr>
        <w:tab/>
      </w:r>
      <w:r>
        <w:rPr>
          <w:i/>
          <w:iCs/>
        </w:rPr>
        <w:tab/>
        <w:tab/>
      </w:r>
      <w:r>
        <w:rPr>
          <w:i/>
          <w:iCs/>
          <w:sz w:val="21"/>
          <w:szCs w:val="21"/>
        </w:rPr>
        <w:t>(Ф.И.О. индивидуального предпринимателя/наименование организации)</w:t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(далее — Получатель поддержки или Получатель), в лице __________________________________,</w:t>
      </w:r>
    </w:p>
    <w:p>
      <w:pPr>
        <w:pStyle w:val="style230"/>
        <w:rPr>
          <w:rFonts w:ascii="Times New Roman" w:cs="Times New Roman" w:hAnsi="Times New Roman"/>
          <w:i/>
          <w:iCs/>
          <w:sz w:val="21"/>
          <w:szCs w:val="21"/>
        </w:rPr>
      </w:pPr>
      <w:r>
        <w:rPr>
          <w:rFonts w:ascii="Times New Roman" w:cs="Times New Roman" w:hAnsi="Times New Roman"/>
          <w:i/>
          <w:iCs/>
          <w:sz w:val="21"/>
          <w:szCs w:val="21"/>
        </w:rPr>
        <w:tab/>
        <w:tab/>
        <w:tab/>
        <w:tab/>
        <w:tab/>
        <w:tab/>
        <w:t>(Ф.И.О. руководителя организации или уполномоченного им лица)</w:t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действующего на основании (</w:t>
      </w:r>
      <w:r>
        <w:rPr>
          <w:rFonts w:ascii="Times New Roman" w:cs="Times New Roman" w:hAnsi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  <w:softHyphen/>
        <w:t>стве индивидуального/юридического лица предпринимателя, серия ___ № ____ от 00.00.0000, ОГРНИП № __________/Устава/Положения</w:t>
      </w:r>
      <w:r>
        <w:rPr>
          <w:rFonts w:ascii="Times New Roman" w:cs="Times New Roman" w:hAnsi="Times New Roman"/>
          <w:sz w:val="22"/>
          <w:szCs w:val="22"/>
        </w:rPr>
        <w:t>)</w:t>
      </w:r>
      <w:r>
        <w:rPr>
          <w:rFonts w:ascii="Times New Roman" w:cs="Times New Roman" w:hAnsi="Times New Roman"/>
        </w:rPr>
        <w:t>, с другой стороны, заключили настоящий дого</w:t>
        <w:softHyphen/>
        <w:t>вор о следующем: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1. Предмет договора</w:t>
      </w:r>
    </w:p>
    <w:p>
      <w:pPr>
        <w:pStyle w:val="style0"/>
        <w:rPr/>
      </w:pPr>
      <w:r>
        <w:rPr/>
      </w:r>
    </w:p>
    <w:p>
      <w:pPr>
        <w:pStyle w:val="style227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1.1. Администрация предоставляет Получателю поддержки субсидию для компен</w:t>
        <w:softHyphen/>
        <w:t xml:space="preserve">сации ___%  затрат, связанных с </w:t>
      </w:r>
      <w:r>
        <w:rPr>
          <w:rFonts w:ascii="Times New Roman" w:cs="Times New Roman" w:hAnsi="Times New Roman"/>
          <w:color w:val="000000"/>
          <w:sz w:val="24"/>
          <w:szCs w:val="24"/>
        </w:rPr>
        <w:t>приобретением оборудования в целях создания и (или) развития, и (или) мо</w:t>
        <w:softHyphen/>
        <w:t>дернизации производства товаров</w:t>
      </w:r>
      <w:r>
        <w:rPr>
          <w:rFonts w:ascii="Times New Roman" w:cs="Times New Roman" w:hAnsi="Times New Roman"/>
          <w:sz w:val="24"/>
          <w:szCs w:val="24"/>
        </w:rPr>
        <w:t xml:space="preserve"> по договору(-ам) поставки обору</w:t>
        <w:softHyphen/>
        <w:t>дования от "___"________ 201__ года №____, в размере ________ (_____________________________) рублей.</w:t>
      </w:r>
    </w:p>
    <w:p>
      <w:pPr>
        <w:pStyle w:val="style227"/>
        <w:widowControl/>
        <w:ind w:hanging="0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ab/>
        <w:tab/>
        <w:tab/>
        <w:tab/>
        <w:tab/>
        <w:t>(сумма прописью)</w:t>
      </w:r>
    </w:p>
    <w:p>
      <w:pPr>
        <w:pStyle w:val="style227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1.2. Администрация предоставляет субсидию на основании заверенной(-ых) Поставщиком копии(-й) платежного(-ых) поручения(-й), подтверждающего(-их) фактическую оплату Получа</w:t>
        <w:softHyphen/>
        <w:t>телем оборудования в размере не менее суммы софинансирования, и копии(-й) акта(-ов) приемки приобретенного по договору поставки оборудования.</w:t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1.3. Основанием для заключения договора являются:</w:t>
      </w:r>
    </w:p>
    <w:p>
      <w:pPr>
        <w:pStyle w:val="style230"/>
        <w:widowControl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решение совета депутатов Сланцевского городского поселения о бюджете муниципального образования на текущий финансовый год от _______ № ____;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подпункт 1.1.3 Плана реализации мероприятий муниципальной программы "Развитие и поддержка малого и среднего предпринимательства в Сланцевском городском поселении на 2014 - 2015 годы";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решение конкурсной комиссии, протокол от _____________ № ______.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2. Обязательства сторон</w:t>
      </w:r>
    </w:p>
    <w:p>
      <w:pPr>
        <w:pStyle w:val="style230"/>
        <w:jc w:val="center"/>
        <w:rPr/>
      </w:pPr>
      <w:r>
        <w:rPr/>
      </w:r>
    </w:p>
    <w:p>
      <w:pPr>
        <w:pStyle w:val="style0"/>
        <w:rPr>
          <w:rFonts w:cs="Times New Roman"/>
        </w:rPr>
      </w:pPr>
      <w:r>
        <w:rPr>
          <w:rFonts w:cs="Times New Roman"/>
        </w:rPr>
        <w:t>2.1. Получатель поддержки обязуется</w:t>
      </w:r>
      <w:r>
        <w:rPr>
          <w:rStyle w:val="style209"/>
          <w:rFonts w:cs="Times New Roman"/>
        </w:rPr>
        <w:footnoteReference w:customMarkFollows="1" w:id="2"/>
        <w:t>1</w:t>
      </w:r>
      <w:r>
        <w:rPr>
          <w:rFonts w:cs="Times New Roman"/>
        </w:rPr>
        <w:t>: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2.1.1. Сохранить/создать в течение _________________ месяцев со дня получения субсидии</w:t>
      </w:r>
    </w:p>
    <w:p>
      <w:pPr>
        <w:pStyle w:val="style23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>(оставить нужное)</w:t>
        <w:tab/>
        <w:tab/>
        <w:t>(не менее/более 12 месяцев)</w:t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 ед. рабочих мест, указанных в заявлении.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2.1.2. Представлять в администрацию в течение трёх лет после заключения настоящего до</w:t>
        <w:softHyphen/>
        <w:t>говора: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ежеквартальный отчёт о хозяйственной деятельности до 25-го числа месяца, следующего за отчётным кварталом, по форме согласно приложению № 1 к до</w:t>
        <w:softHyphen/>
        <w:t>говору;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анкету получателя поддержки по форме согласно приложению № 2 к настоящему договору ежегодно в срок до 01 апреля года, следующего за отчетным.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2.1.3. Возвратить в бюджет Сланцевского городского поселения в добровольном порядке средства субсидии случае:</w:t>
      </w:r>
    </w:p>
    <w:p>
      <w:pPr>
        <w:pStyle w:val="style0"/>
        <w:ind w:firstLine="709" w:left="0" w:right="0"/>
        <w:rPr/>
      </w:pPr>
      <w:r>
        <w:rPr/>
        <w:t xml:space="preserve">- прекращения производственной деятельности того вида (производства того вида товаров), на </w:t>
      </w:r>
      <w:r>
        <w:rPr>
          <w:color w:val="000000"/>
        </w:rPr>
        <w:t>создание, развитие или модернизацию которого была предоставлена субсидия,</w:t>
      </w:r>
      <w:r>
        <w:rPr/>
        <w:t xml:space="preserve"> до истечения двухлетнего срока с момента ее предоставления;</w:t>
      </w:r>
    </w:p>
    <w:p>
      <w:pPr>
        <w:pStyle w:val="style0"/>
        <w:ind w:firstLine="709" w:left="0" w:right="0"/>
        <w:rPr/>
      </w:pPr>
      <w:r>
        <w:rPr/>
        <w:t>- отсутствия (неосуществления) хозяйственной деятельности более шести месяцев подряд после заключения настоящего договора;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непредоставления указанных в пункте 2.1.2 настоящего договора сведений о хозяйствен</w:t>
        <w:softHyphen/>
        <w:t>ной деятельностив течение шести месяцев подряд после заключения настоящего договора;</w:t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установления по итогам проверок, проведенных главным распорядителем бюджетных средств и(или)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  <w:softHyphen/>
        <w:t>рядком предоставления субсидий и настоящим договором, а также в случае выявления фактов предоставле</w:t>
        <w:softHyphen/>
        <w:t xml:space="preserve">ния недостоверных сведений и документов, </w:t>
      </w:r>
    </w:p>
    <w:p>
      <w:pPr>
        <w:pStyle w:val="style228"/>
        <w:ind w:firstLine="709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2.2. Администрация обязуется:</w:t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2.2.1. Предоставить Получателю субсидию для компенсации части за</w:t>
        <w:softHyphen/>
        <w:t xml:space="preserve">трат, связанных с </w:t>
      </w:r>
      <w:r>
        <w:rPr>
          <w:rFonts w:ascii="Times New Roman" w:cs="Times New Roman" w:hAnsi="Times New Roman"/>
          <w:color w:val="000000"/>
        </w:rPr>
        <w:t>при</w:t>
        <w:softHyphen/>
        <w:t>обретением оборудования в целях создания и (или) развития, и (или) модернизации производства товаров по</w:t>
      </w:r>
      <w:r>
        <w:rPr>
          <w:rFonts w:ascii="Times New Roman" w:cs="Times New Roman" w:hAnsi="Times New Roman"/>
        </w:rPr>
        <w:t xml:space="preserve"> договору(-ам) поставки оборудования в соответствии с пунктами 1.1, 4.1 и 4.2 настоя</w:t>
        <w:softHyphen/>
        <w:t>щего договора.</w:t>
      </w:r>
    </w:p>
    <w:p>
      <w:pPr>
        <w:pStyle w:val="style0"/>
        <w:ind w:firstLine="709" w:left="0" w:right="0"/>
        <w:rPr/>
      </w:pPr>
      <w:r>
        <w:rPr/>
        <w:t>2.2.2. Проводить плановые проверки не реже 1 раза в год, а в случае непредоставления еже</w:t>
        <w:softHyphen/>
        <w:t>квартальных отчетов о хозяйственной деятельности - внеплановые проверки соблюдения получа</w:t>
        <w:softHyphen/>
        <w:t xml:space="preserve">телями субсидий условий и целей предоставления субсидий. </w:t>
      </w:r>
    </w:p>
    <w:p>
      <w:pPr>
        <w:pStyle w:val="style0"/>
        <w:ind w:firstLine="709" w:left="0" w:right="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3. Особые условия договора</w:t>
      </w:r>
    </w:p>
    <w:p>
      <w:pPr>
        <w:pStyle w:val="style0"/>
        <w:jc w:val="both"/>
        <w:rPr/>
      </w:pPr>
      <w:r>
        <w:rPr/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случае несвоевременного представления Получателем сведений о хозяйственной деятель</w:t>
        <w:softHyphen/>
        <w:t>ности в соответствии с подпунктом 2.1.2 настоящего договора администрация оставляет за собой право в дальнейшем отказать Получателю в предоставлении любых видов поддержки.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4. Порядок расчётов</w:t>
      </w:r>
    </w:p>
    <w:p>
      <w:pPr>
        <w:pStyle w:val="style0"/>
        <w:rPr/>
      </w:pPr>
      <w:r>
        <w:rPr/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4.1. Средства субсидии перечисляются на расчётный счёт Получателя поддержки на основа</w:t>
        <w:softHyphen/>
        <w:t>нии документов, указанных в пункте 1.2 настоящего договора.</w:t>
      </w:r>
    </w:p>
    <w:p>
      <w:pPr>
        <w:pStyle w:val="style230"/>
        <w:ind w:firstLine="567" w:left="0" w:right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</w:rPr>
        <w:t>4.2. Субсидия перечисляется Получателю после поступления средств из бюджета Ленинград</w:t>
        <w:softHyphen/>
        <w:t xml:space="preserve">ской области в доход бюджета </w:t>
      </w:r>
      <w:r>
        <w:rPr>
          <w:rFonts w:ascii="Times New Roman" w:cs="Times New Roman" w:hAnsi="Times New Roman"/>
          <w:color w:val="000000"/>
        </w:rPr>
        <w:t>Сланцевского городского поселения.</w:t>
      </w:r>
    </w:p>
    <w:p>
      <w:pPr>
        <w:pStyle w:val="style230"/>
        <w:ind w:firstLine="567" w:left="0" w:right="0"/>
        <w:rPr/>
      </w:pPr>
      <w:r>
        <w:rPr/>
      </w:r>
    </w:p>
    <w:p>
      <w:pPr>
        <w:pStyle w:val="style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5. Срок действия договора</w:t>
      </w:r>
    </w:p>
    <w:p>
      <w:pPr>
        <w:pStyle w:val="style0"/>
        <w:rPr/>
      </w:pPr>
      <w:r>
        <w:rPr/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 договор действует с момента подписания и до выполнения сторонами своих обя</w:t>
        <w:softHyphen/>
        <w:t>зательств.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6. Ответственность сторон и порядок разрешения споров</w:t>
      </w:r>
    </w:p>
    <w:p>
      <w:pPr>
        <w:pStyle w:val="style0"/>
        <w:rPr/>
      </w:pPr>
      <w:r>
        <w:rPr/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5.1. Получатель несёт ответственность за нецелевое использование субсидии в соответствии со статьей 289 Бюджетного кодекса Российской Федерации, а также за достоверность предостав</w:t>
        <w:softHyphen/>
        <w:t>ленных в администрацию сведений и документов.</w:t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5.2. В случае нарушения условий данного договора, а также выявления фактов предоставле</w:t>
        <w:softHyphen/>
        <w:t>ния недостоверных сведений и документов, возврат субсидии в бюджет Сланцевского городского поселения производится Получателем в добровольном порядке. Если Получатель отказывается до</w:t>
        <w:softHyphen/>
        <w:t>бровольно возвращать субсидию, взыскание денежных средств осуществляется в судебном поро</w:t>
        <w:softHyphen/>
        <w:t>ядке в рамках исполнительного производства.</w:t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5.3. Стороны не несут ответственности в случае, если невозможность выполнения ими усло</w:t>
        <w:softHyphen/>
        <w:t>вий настоящего договора наступила в силу форс-мажорных обстоятельств.</w:t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5.4. Вопросы, не урегулированные настоящим договором, стороны решают в соответствии с законодательством Российской Федерации.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6. Адреса и реквизиты сторон</w:t>
      </w:r>
    </w:p>
    <w:p>
      <w:pPr>
        <w:pStyle w:val="style0"/>
        <w:rPr/>
      </w:pPr>
      <w:r>
        <w:rPr/>
      </w:r>
    </w:p>
    <w:p>
      <w:pPr>
        <w:pStyle w:val="style230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Администрация:</w:t>
      </w:r>
    </w:p>
    <w:p>
      <w:pPr>
        <w:pStyle w:val="style230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Сланцевский муниципальный район Ленин</w:t>
        <w:softHyphen/>
        <w:t>градской области</w:t>
      </w:r>
    </w:p>
    <w:p>
      <w:pPr>
        <w:pStyle w:val="style230"/>
        <w:tabs>
          <w:tab w:leader="none" w:pos="142" w:val="left"/>
        </w:tabs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</w:t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>_____________________________________________________</w:t>
      </w:r>
    </w:p>
    <w:p>
      <w:pPr>
        <w:pStyle w:val="style0"/>
        <w:rPr/>
      </w:pPr>
      <w:r>
        <w:rPr/>
        <w:tab/>
        <w:t>_____________________________________________________</w:t>
      </w:r>
    </w:p>
    <w:p>
      <w:pPr>
        <w:pStyle w:val="style0"/>
        <w:rPr/>
      </w:pPr>
      <w:r>
        <w:rPr/>
        <w:tab/>
        <w:t>_____________________________________________________</w:t>
      </w:r>
    </w:p>
    <w:p>
      <w:pPr>
        <w:pStyle w:val="style0"/>
        <w:rPr/>
      </w:pPr>
      <w:r>
        <w:rPr/>
        <w:tab/>
        <w:t>_____________________________________________________</w:t>
      </w:r>
    </w:p>
    <w:p>
      <w:pPr>
        <w:pStyle w:val="style0"/>
        <w:rPr/>
      </w:pPr>
      <w:r>
        <w:rPr/>
      </w:r>
    </w:p>
    <w:p>
      <w:pPr>
        <w:pStyle w:val="style230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Получатель:</w:t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>____________________________________</w:t>
      </w:r>
    </w:p>
    <w:p>
      <w:pPr>
        <w:pStyle w:val="style23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>___________________________________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7. Подписи и печати сторон</w:t>
      </w:r>
    </w:p>
    <w:p>
      <w:pPr>
        <w:pStyle w:val="style0"/>
        <w:rPr/>
      </w:pPr>
      <w:r>
        <w:rPr/>
      </w:r>
    </w:p>
    <w:p>
      <w:pPr>
        <w:pStyle w:val="style230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</w:t>
        <w:tab/>
        <w:tab/>
        <w:tab/>
        <w:tab/>
        <w:tab/>
        <w:tab/>
        <w:t>Получатель</w:t>
      </w:r>
    </w:p>
    <w:p>
      <w:pPr>
        <w:pStyle w:val="style230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</w:t>
        <w:tab/>
        <w:tab/>
        <w:tab/>
        <w:t>_________________________</w:t>
      </w:r>
    </w:p>
    <w:p>
      <w:pPr>
        <w:pStyle w:val="style230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</w:t>
        <w:tab/>
        <w:tab/>
        <w:tab/>
        <w:t>_________________________</w:t>
      </w:r>
    </w:p>
    <w:p>
      <w:pPr>
        <w:pStyle w:val="style230"/>
        <w:ind w:firstLine="850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/>
          <w:iCs/>
        </w:rPr>
        <w:t xml:space="preserve">             </w:t>
      </w:r>
      <w:r>
        <w:rPr>
          <w:rFonts w:ascii="Times New Roman" w:cs="Times New Roman" w:hAnsi="Times New Roman"/>
          <w:i/>
          <w:iCs/>
        </w:rPr>
        <w:t xml:space="preserve">(подпись) </w:t>
        <w:tab/>
        <w:tab/>
        <w:tab/>
        <w:tab/>
        <w:tab/>
        <w:tab/>
        <w:t>(подпись)</w:t>
      </w:r>
    </w:p>
    <w:p>
      <w:pPr>
        <w:pStyle w:val="style230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Место печати</w:t>
        <w:tab/>
        <w:tab/>
        <w:tab/>
        <w:tab/>
        <w:tab/>
        <w:tab/>
        <w:t>Место печати</w:t>
      </w:r>
    </w:p>
    <w:p>
      <w:pPr>
        <w:pStyle w:val="style230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"___" _________ 201_ года</w:t>
        <w:tab/>
        <w:tab/>
        <w:tab/>
        <w:tab/>
        <w:t>"___" _________ 201_ года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6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(Форма)</w:t>
      </w:r>
    </w:p>
    <w:p>
      <w:pPr>
        <w:pStyle w:val="style0"/>
        <w:rPr/>
      </w:pPr>
      <w:r>
        <w:rPr/>
      </w:r>
    </w:p>
    <w:p>
      <w:pPr>
        <w:pStyle w:val="style23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Показатели хозяйственной деятельности Получателя поддержки</w:t>
      </w:r>
    </w:p>
    <w:p>
      <w:pPr>
        <w:pStyle w:val="style0"/>
        <w:jc w:val="center"/>
        <w:rPr/>
      </w:pPr>
      <w:r>
        <w:rPr/>
        <w:t>_____________________________________________________________________</w:t>
      </w:r>
    </w:p>
    <w:p>
      <w:pPr>
        <w:pStyle w:val="style0"/>
        <w:jc w:val="center"/>
        <w:rPr>
          <w:i/>
          <w:iCs/>
        </w:rPr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0477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10476"/>
      </w:tblGrid>
      <w:tr>
        <w:trPr>
          <w:trHeight w:hRule="atLeast" w:val="240"/>
          <w:cantSplit w:val="true"/>
        </w:trPr>
        <w:tc>
          <w:tcPr>
            <w:tcW w:type="dxa" w:w="1047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type="dxa" w:w="785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>
        <w:trPr>
          <w:trHeight w:hRule="atLeast" w:val="132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состоя</w:t>
              <w:softHyphen/>
              <w:t>нию на _________,</w:t>
            </w:r>
          </w:p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</w:t>
              <w:softHyphen/>
              <w:t>стоянию на _________,</w:t>
            </w:r>
          </w:p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  <w:softHyphen/>
              <w:t xml:space="preserve">дивидуальных предпринимателей         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4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  <w:softHyphen/>
              <w:t>ных в качестве индивидуальных предпри</w:t>
              <w:softHyphen/>
              <w:t xml:space="preserve">нимателей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 минус рас</w:t>
              <w:softHyphen/>
              <w:t xml:space="preserve">ходы 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Общее кол-во рабо</w:t>
              <w:softHyphen/>
              <w:t>чих мест, ед.</w:t>
            </w:r>
          </w:p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Среднесписочная численность ра</w:t>
              <w:softHyphen/>
              <w:t>ботников, чел.</w:t>
            </w:r>
          </w:p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работников, занятых на вновь создан</w:t>
              <w:softHyphen/>
              <w:t>ных ра</w:t>
              <w:softHyphen/>
              <w:t>бочих ме</w:t>
              <w:softHyphen/>
              <w:t>стах, ед.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имущество физических лиц (индивидуальных предприни</w:t>
              <w:softHyphen/>
              <w:t xml:space="preserve">мателей)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Минимальная зара</w:t>
              <w:softHyphen/>
              <w:t>ботная плата ра</w:t>
              <w:softHyphen/>
              <w:t>ботников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62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Пенсионный фонд Российской Фе</w:t>
              <w:softHyphen/>
              <w:t>дерации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6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Фонд социального страхования Рос</w:t>
              <w:softHyphen/>
              <w:t xml:space="preserve">сийской  Федерации, 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6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Федеральный фонд обязательного медицинского страхования,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6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территориальные фонды обяза</w:t>
              <w:softHyphen/>
              <w:t>тельного медицинского страхован</w:t>
              <w:softHyphen/>
              <w:t>ия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6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земельный налог      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6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транспортный налог   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6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Инвестиции всего,</w:t>
            </w:r>
          </w:p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в основной капи</w:t>
              <w:softHyphen/>
              <w:t>тал за счёт: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сельскохозяйственный на</w:t>
              <w:softHyphen/>
              <w:t xml:space="preserve">лог          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заёмных средств</w:t>
            </w:r>
          </w:p>
        </w:tc>
        <w:tc>
          <w:tcPr>
            <w:tcW w:type="dxa" w:w="26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type="dxa" w:w="26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27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30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Получатель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</w:t>
        <w:tab/>
        <w:t xml:space="preserve"> ______________________</w:t>
        <w:tab/>
        <w:t>______________________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должности</w:t>
        <w:tab/>
        <w:tab/>
        <w:tab/>
        <w:tab/>
        <w:t>(подпись)</w:t>
        <w:tab/>
        <w:tab/>
        <w:tab/>
        <w:t>(И.О. Фамилия)</w:t>
      </w:r>
    </w:p>
    <w:p>
      <w:pPr>
        <w:pStyle w:val="style231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231"/>
        <w:widowControl/>
        <w:ind w:firstLine="720" w:left="432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 года</w:t>
      </w:r>
    </w:p>
    <w:p>
      <w:pPr>
        <w:pStyle w:val="style231"/>
        <w:widowControl/>
        <w:ind w:firstLine="720" w:left="21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sectPr>
          <w:footnotePr>
            <w:numFmt w:val="decimal"/>
          </w:footnotePr>
          <w:type w:val="nextPage"/>
          <w:pgSz w:h="16838" w:w="11906"/>
          <w:pgMar w:bottom="1134" w:footer="0" w:gutter="0" w:header="0" w:left="709" w:right="720" w:top="567"/>
          <w:pgNumType w:fmt="decimal"/>
          <w:formProt w:val="false"/>
          <w:textDirection w:val="lrTb"/>
          <w:docGrid w:charSpace="-8193" w:linePitch="360" w:type="default"/>
        </w:sectPr>
        <w:pStyle w:val="style227"/>
        <w:widowControl/>
        <w:ind w:hanging="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/>
        </w:rPr>
        <w:t>(при ее наличии)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7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</w:t>
      </w:r>
    </w:p>
    <w:p>
      <w:pPr>
        <w:pStyle w:val="style227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(Форма)</w:t>
      </w:r>
    </w:p>
    <w:p>
      <w:pPr>
        <w:pStyle w:val="style227"/>
        <w:widowControl/>
        <w:ind w:hanging="0" w:left="0" w:right="0"/>
        <w:jc w:val="right"/>
        <w:rPr/>
      </w:pPr>
      <w:r>
        <w:rPr/>
      </w:r>
    </w:p>
    <w:p>
      <w:pPr>
        <w:pStyle w:val="style227"/>
        <w:widowControl/>
        <w:ind w:hanging="0" w:left="0" w:right="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Анкета получателя поддержки</w:t>
      </w:r>
    </w:p>
    <w:p>
      <w:pPr>
        <w:pStyle w:val="style227"/>
        <w:widowControl/>
        <w:ind w:hanging="0" w:left="0" w:right="0"/>
        <w:jc w:val="right"/>
        <w:rPr/>
      </w:pPr>
      <w:r>
        <w:rPr/>
      </w:r>
    </w:p>
    <w:tbl>
      <w:tblPr>
        <w:jc w:val="left"/>
        <w:tblInd w:type="dxa" w:w="6553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65533"/>
          <w:bottom w:type="dxa" w:w="0"/>
          <w:right w:type="dxa" w:w="0"/>
        </w:tblCellMar>
      </w:tblPr>
      <w:tblGrid>
        <w:gridCol w:w="14579"/>
      </w:tblGrid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>
        <w:trPr>
          <w:trHeight w:hRule="atLeast" w:val="501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tabs>
                <w:tab w:leader="none" w:pos="15540" w:val="left"/>
                <w:tab w:leader="none" w:pos="15705" w:val="left"/>
              </w:tabs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(дата оказания поддержки)</w:t>
            </w:r>
          </w:p>
        </w:tc>
      </w:tr>
      <w:tr>
        <w:trPr>
          <w:trHeight w:hRule="atLeast" w:val="423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1904"/>
            <w:gridSpan w:val="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28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type="dxa" w:w="1341"/>
            <w:gridSpan w:val="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671"/>
            <w:gridSpan w:val="5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9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(отчетный год)</w:t>
            </w:r>
          </w:p>
        </w:tc>
      </w:tr>
      <w:tr>
        <w:trPr>
          <w:trHeight w:hRule="atLeast" w:val="444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>
        <w:trPr>
          <w:trHeight w:hRule="atLeast" w:val="13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type="dxa" w:w="4006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  <w:softHyphen/>
              <w:t>нительной власти, реализую</w:t>
              <w:softHyphen/>
              <w:t>щий программу поддержки/госкорпорация</w:t>
            </w:r>
          </w:p>
        </w:tc>
        <w:tc>
          <w:tcPr>
            <w:tcW w:type="dxa" w:w="9862"/>
            <w:gridSpan w:val="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>
            <w:pPr>
              <w:pStyle w:val="style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>
        <w:trPr>
          <w:trHeight w:hRule="atLeast" w:val="147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type="dxa" w:w="1342"/>
            <w:gridSpan w:val="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Гранты на создан</w:t>
              <w:softHyphen/>
              <w:t>ие малой иннова</w:t>
              <w:softHyphen/>
              <w:t>ционной компании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Субсидия действую</w:t>
              <w:softHyphen/>
              <w:t>щим ин</w:t>
              <w:softHyphen/>
              <w:t>новационным компаниям</w:t>
            </w:r>
          </w:p>
        </w:tc>
        <w:tc>
          <w:tcPr>
            <w:tcW w:type="dxa" w:w="1671"/>
            <w:gridSpan w:val="5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Грант начинающему малому предприя</w:t>
              <w:softHyphen/>
              <w:t>тию</w:t>
            </w:r>
          </w:p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type="dxa" w:w="1054"/>
            <w:gridSpan w:val="4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Поручи</w:t>
              <w:softHyphen/>
              <w:t>тельство га</w:t>
              <w:softHyphen/>
              <w:t>рантийного фон</w:t>
              <w:softHyphen/>
              <w:t>да</w:t>
            </w:r>
          </w:p>
        </w:tc>
        <w:tc>
          <w:tcPr>
            <w:tcW w:type="dxa" w:w="113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Лизинг оборудова</w:t>
              <w:softHyphen/>
              <w:t>ния</w:t>
            </w:r>
          </w:p>
        </w:tc>
        <w:tc>
          <w:tcPr>
            <w:tcW w:type="dxa" w:w="1034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Поддержка экспортноориентиров</w:t>
              <w:softHyphen/>
              <w:t>анных субъек</w:t>
              <w:softHyphen/>
              <w:t>тов МСП</w:t>
            </w:r>
          </w:p>
        </w:tc>
        <w:tc>
          <w:tcPr>
            <w:tcW w:type="dxa" w:w="225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Суб</w:t>
              <w:softHyphen/>
              <w:t>сидия на повышен</w:t>
              <w:softHyphen/>
              <w:t>ие энергоэф</w:t>
              <w:softHyphen/>
              <w:t>фек-тивности</w:t>
            </w:r>
          </w:p>
        </w:tc>
        <w:tc>
          <w:tcPr>
            <w:tcW w:type="dxa" w:w="1364"/>
            <w:gridSpan w:val="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в Биз</w:t>
              <w:softHyphen/>
              <w:t>нес-инкубаторе или Технопарке*,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кв. м.</w:t>
            </w:r>
          </w:p>
        </w:tc>
      </w:tr>
      <w:tr>
        <w:trPr>
          <w:trHeight w:hRule="atLeast" w:val="1470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134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6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54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13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225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364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555"/>
          <w:cantSplit w:val="true"/>
        </w:trPr>
        <w:tc>
          <w:tcPr>
            <w:tcW w:type="dxa" w:w="711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06"/>
            <w:gridSpan w:val="3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type="dxa" w:w="9862"/>
            <w:gridSpan w:val="2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(58,8 тыс. руб.)</w:t>
            </w:r>
          </w:p>
        </w:tc>
      </w:tr>
      <w:tr>
        <w:trPr>
          <w:trHeight w:hRule="atLeast" w:val="555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9862"/>
            <w:gridSpan w:val="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1327"/>
          <w:cantSplit w:val="true"/>
        </w:trPr>
        <w:tc>
          <w:tcPr>
            <w:tcW w:type="dxa" w:w="711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06"/>
            <w:gridSpan w:val="3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type="dxa" w:w="4451"/>
            <w:gridSpan w:val="1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гражданам ведущим лич</w:t>
              <w:softHyphen/>
              <w:t>ное подсобное хозяйство по кредит</w:t>
              <w:softHyphen/>
              <w:t>ным до</w:t>
              <w:softHyphen/>
              <w:t>говорам, заключенным:</w:t>
            </w:r>
          </w:p>
        </w:tc>
        <w:tc>
          <w:tcPr>
            <w:tcW w:type="dxa" w:w="5411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1976"/>
              <w:gridCol w:w="1977"/>
              <w:gridCol w:w="1996"/>
            </w:tblGrid>
            <w:tr>
              <w:trPr>
                <w:trHeight w:hRule="atLeast" w:val="2046"/>
                <w:cantSplit w:val="false"/>
              </w:trPr>
              <w:tc>
                <w:tcPr>
                  <w:tcW w:type="dxa" w:w="19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Субсидии КФХ и ИП по кре</w:t>
                    <w:softHyphen/>
                    <w:t>дитным договорам, заключенн</w:t>
                    <w:softHyphen/>
                    <w:t>ым:</w:t>
                  </w:r>
                </w:p>
              </w:tc>
              <w:tc>
                <w:tcPr>
                  <w:tcW w:type="dxa" w:w="197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Субсидии с/х потре</w:t>
                    <w:softHyphen/>
                    <w:t>бительским коопера</w:t>
                    <w:softHyphen/>
                    <w:t>тивам по кредитным догово</w:t>
                    <w:softHyphen/>
                    <w:t>рам заключен</w:t>
                    <w:softHyphen/>
                    <w:t>ным:</w:t>
                  </w:r>
                </w:p>
              </w:tc>
              <w:tc>
                <w:tcPr>
                  <w:tcW w:type="dxa" w:w="1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ind w:hanging="0" w:left="0" w:right="61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Субсидии на под</w:t>
                    <w:softHyphen/>
                    <w:t>держку отдель</w:t>
                    <w:softHyphen/>
                    <w:t>ных от</w:t>
                    <w:softHyphen/>
                    <w:t>раслей сельского хозяйс</w:t>
                    <w:softHyphen/>
                    <w:t>тва</w:t>
                  </w:r>
                </w:p>
              </w:tc>
            </w:tr>
          </w:tbl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033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2-х лет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59"/>
            <w:gridSpan w:val="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(при</w:t>
              <w:softHyphen/>
              <w:t>обретение с/х техни</w:t>
              <w:softHyphen/>
              <w:t>ки и т.п.)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89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(ту</w:t>
              <w:softHyphen/>
              <w:t>ризм)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(на приобретение ма</w:t>
              <w:softHyphen/>
              <w:t>шин, и других устр-в, утвержденных Минсельхозом Рос</w:t>
              <w:softHyphen/>
              <w:t>сии)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5413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658"/>
              <w:gridCol w:w="659"/>
              <w:gridCol w:w="658"/>
              <w:gridCol w:w="659"/>
              <w:gridCol w:w="658"/>
              <w:gridCol w:w="659"/>
              <w:gridCol w:w="1997"/>
            </w:tblGrid>
            <w:tr>
              <w:trPr>
                <w:trHeight w:hRule="atLeast" w:val="3033"/>
                <w:cantSplit w:val="false"/>
              </w:trPr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type="dxa" w:w="199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295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"СТАРТ"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Программа "УМ</w:t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"Энер</w:t>
              <w:softHyphen/>
              <w:t>госбережение"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71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Программа "ФАР</w:t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type="dxa" w:w="71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  <w:softHyphen/>
              <w:t>а "СОФТ"</w:t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"ЭКС</w:t>
              <w:softHyphen/>
              <w:t>ПОРТ"</w:t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НИОКР по приоритет</w:t>
              <w:softHyphen/>
              <w:t>ным направлениям раз</w:t>
              <w:softHyphen/>
              <w:t>вития науки и тех</w:t>
              <w:softHyphen/>
              <w:t>ники, направленных на реали</w:t>
              <w:softHyphen/>
              <w:t>зацию антикри</w:t>
              <w:softHyphen/>
              <w:t>зисной программы                   Правительства РФ</w:t>
            </w:r>
          </w:p>
        </w:tc>
        <w:tc>
          <w:tcPr>
            <w:tcW w:type="dxa" w:w="98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НИОКР по прак</w:t>
              <w:softHyphen/>
              <w:t>тическому при</w:t>
              <w:softHyphen/>
              <w:t>менению разра</w:t>
              <w:softHyphen/>
              <w:t>боток, выполняе</w:t>
              <w:softHyphen/>
              <w:t>мых в научно-образователь-н</w:t>
              <w:softHyphen/>
              <w:t>ых цен</w:t>
              <w:softHyphen/>
              <w:t>трах</w:t>
            </w:r>
          </w:p>
        </w:tc>
        <w:tc>
          <w:tcPr>
            <w:tcW w:type="dxa" w:w="136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Выполнение НИ</w:t>
              <w:softHyphen/>
              <w:t>ОКР малы</w:t>
              <w:softHyphen/>
              <w:t>ми инн</w:t>
              <w:softHyphen/>
              <w:t>вационными компа</w:t>
              <w:softHyphen/>
              <w:t>ниями в рам</w:t>
              <w:softHyphen/>
              <w:t>ках междуна</w:t>
              <w:softHyphen/>
              <w:t>родных про</w:t>
              <w:softHyphen/>
              <w:t>грамм ЕС</w:t>
            </w:r>
          </w:p>
        </w:tc>
      </w:tr>
      <w:tr>
        <w:trPr>
          <w:trHeight w:hRule="atLeast" w:val="397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98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36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570"/>
          <w:cantSplit w:val="true"/>
        </w:trPr>
        <w:tc>
          <w:tcPr>
            <w:tcW w:type="dxa" w:w="711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06"/>
            <w:gridSpan w:val="3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type="dxa" w:w="1031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Цели оказания под</w:t>
              <w:softHyphen/>
              <w:t>держки/ виды под</w:t>
              <w:softHyphen/>
              <w:t>держки</w:t>
            </w:r>
          </w:p>
        </w:tc>
        <w:tc>
          <w:tcPr>
            <w:tcW w:type="dxa" w:w="1439"/>
            <w:gridSpan w:val="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Кредит банка</w:t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Микрозайм</w:t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Факторинго-вые услу</w:t>
              <w:softHyphen/>
              <w:t>ги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произ</w:t>
              <w:softHyphen/>
              <w:t>водства и обновление основных средств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инновац</w:t>
              <w:softHyphen/>
              <w:t>ионных проектов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энергоэф</w:t>
              <w:softHyphen/>
              <w:t>фективных проек</w:t>
              <w:softHyphen/>
              <w:t>тов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10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9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959"/>
            <w:gridSpan w:val="1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0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10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9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959"/>
            <w:gridSpan w:val="1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>
        <w:trPr>
          <w:trHeight w:hRule="atLeast" w:val="60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492"/>
            <w:gridSpan w:val="1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0"/>
              </w:rPr>
            </w:pPr>
            <w:r>
              <w:rPr>
                <w:rFonts w:cs="Times New Roman" w:eastAsia="Times New Roman"/>
                <w:b/>
                <w:bCs/>
                <w:sz w:val="20"/>
              </w:rPr>
              <w:t>№</w:t>
            </w:r>
          </w:p>
        </w:tc>
        <w:tc>
          <w:tcPr>
            <w:tcW w:type="dxa" w:w="400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(год, предшествую</w:t>
              <w:softHyphen/>
              <w:t>щий оказанию под</w:t>
              <w:softHyphen/>
              <w:t>держки)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(Первый год после ока</w:t>
              <w:softHyphen/>
              <w:t>зания поддержки)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(Второй год после оказания под</w:t>
              <w:softHyphen/>
              <w:t>держки)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</w:t>
              <w:softHyphen/>
              <w:t>бот, услуг) без учета НДС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73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76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География поставок (кол-во субъек</w:t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Номенклатура производимой про</w:t>
              <w:softHyphen/>
              <w:t>дукции (работ, услуг)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4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</w:t>
              <w:softHyphen/>
              <w:t>ботников (без внешних совмести</w:t>
              <w:softHyphen/>
              <w:t>телей)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</w:t>
              <w:softHyphen/>
              <w:t>ботная плата работников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03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  <w:softHyphen/>
              <w:t>мость и акцизов)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4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из них: привлечено в рамках про</w:t>
              <w:softHyphen/>
              <w:t>грамм государственной поддержки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color="00000A" w:space="0" w:sz="4" w:val="single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>
        <w:trPr>
          <w:trHeight w:hRule="atLeast" w:val="15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492"/>
            <w:gridSpan w:val="1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0"/>
              </w:rPr>
            </w:pPr>
            <w:r>
              <w:rPr>
                <w:rFonts w:cs="Times New Roman" w:eastAsia="Times New Roman"/>
                <w:b/>
                <w:bCs/>
                <w:sz w:val="20"/>
              </w:rPr>
              <w:t>№</w:t>
            </w:r>
          </w:p>
        </w:tc>
        <w:tc>
          <w:tcPr>
            <w:tcW w:type="dxa" w:w="38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(Первый год по</w:t>
              <w:softHyphen/>
              <w:t>сле оказания под</w:t>
              <w:softHyphen/>
              <w:t>держки)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>
        <w:trPr>
          <w:trHeight w:hRule="atLeast" w:val="103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Объем экспорта, в том числе отгру</w:t>
              <w:softHyphen/>
              <w:t>жено товаров собственного произ</w:t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type="dxa" w:w="1031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47"/>
            <w:gridSpan w:val="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2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2347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40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Количество стран, в которые экспор</w:t>
              <w:softHyphen/>
              <w:t>тируются товары (работы, услуги)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47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>
        <w:trPr>
          <w:trHeight w:hRule="atLeast" w:val="1020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  <w:softHyphen/>
              <w:t>нено иновационных работ и услуг собственными силами)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76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Доля экспортной инновационной продукции в общем объеме отгру</w:t>
              <w:softHyphen/>
              <w:t>женной инновационной продукции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7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Число вновь полученных патентов на изобретение, на полезную мо</w:t>
              <w:softHyphen/>
              <w:t>дель, на промышленный образец, ис</w:t>
              <w:softHyphen/>
              <w:t>пользованных в отгруженных инно</w:t>
              <w:softHyphen/>
              <w:t>вационных товарах собственного производства, всего: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промышленные об</w:t>
              <w:softHyphen/>
              <w:t>разцы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>
        <w:trPr>
          <w:trHeight w:hRule="atLeast" w:val="330"/>
          <w:cantSplit w:val="true"/>
        </w:trPr>
        <w:tc>
          <w:tcPr>
            <w:tcW w:type="dxa" w:w="8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type="dxa" w:w="10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ind w:firstLine="49" w:left="-800" w:right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1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85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  <w:t>Руководитель организации</w:t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  <w:p>
            <w:pPr>
              <w:pStyle w:val="style0"/>
              <w:spacing w:line="200" w:lineRule="atLeast"/>
              <w:rPr/>
            </w:pPr>
            <w:r>
              <w:rPr/>
              <w:t>/</w:t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color="000001" w:space="0" w:sz="4" w:val="single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>
                <w:rFonts w:cs="Times New Roman" w:eastAsia="Times New Roman"/>
              </w:rPr>
              <w:t xml:space="preserve">                                           </w:t>
            </w:r>
            <w:r>
              <w:rPr/>
              <w:t>/</w:t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1043"/>
            <w:gridSpan w:val="2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3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  <w:t>индивидуальный предприни</w:t>
              <w:softHyphen/>
              <w:t>матель</w:t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0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  <w:t>М.П.</w:t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41"/>
        <w:ind w:hanging="0" w:left="0" w:right="0"/>
        <w:rPr/>
      </w:pPr>
      <w:r>
        <w:rPr/>
      </w:r>
    </w:p>
    <w:p>
      <w:pPr>
        <w:pStyle w:val="style227"/>
        <w:widowControl/>
        <w:ind w:hanging="0" w:left="0" w:right="0"/>
        <w:jc w:val="right"/>
        <w:rPr/>
      </w:pPr>
      <w:r>
        <w:rPr/>
      </w:r>
    </w:p>
    <w:p>
      <w:pPr>
        <w:pStyle w:val="style0"/>
        <w:rPr/>
      </w:pPr>
      <w:r>
        <w:rPr/>
      </w:r>
    </w:p>
    <w:sectPr>
      <w:footnotePr>
        <w:numFmt w:val="decimal"/>
      </w:footnotePr>
      <w:type w:val="nextPage"/>
      <w:pgSz w:h="11906" w:orient="landscape" w:w="16838"/>
      <w:pgMar w:bottom="720" w:footer="0" w:gutter="0" w:header="0" w:left="1134" w:right="567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0"/>
        <w:ind w:firstLine="567" w:left="0" w:right="0"/>
        <w:rPr>
          <w:rFonts w:cs="Times New Roman"/>
          <w:sz w:val="20"/>
          <w:szCs w:val="20"/>
        </w:rPr>
      </w:pPr>
      <w:r>
        <w:rPr>
          <w:rFonts w:cs="Times New Roman" w:eastAsia="Times New Roman"/>
        </w:rPr>
        <w:footnoteRef/>
        <w:tab/>
      </w:r>
      <w:r>
        <w:rPr>
          <w:rFonts w:cs="Times New Roman" w:eastAsia="Times New Roman"/>
        </w:rPr>
        <w:tab/>
        <w:tab/>
        <w:tab/>
        <w:t>—</w:t>
      </w:r>
      <w:r>
        <w:rPr/>
        <w:t xml:space="preserve"> </w:t>
      </w:r>
      <w:r>
        <w:rPr>
          <w:sz w:val="20"/>
          <w:szCs w:val="20"/>
        </w:rPr>
        <w:t xml:space="preserve">в случае, если в составе конкурсной заявки Получателя не были представлены </w:t>
      </w:r>
      <w:r>
        <w:rPr>
          <w:rFonts w:cs="Times New Roman"/>
          <w:sz w:val="20"/>
          <w:szCs w:val="20"/>
        </w:rPr>
        <w:t>копии бухгалтерских доку</w:t>
        <w:softHyphen/>
        <w:t>ментов, подтверждающих постановку на баланс приобретенного оборудования, в договор включается пункт об обязан</w:t>
        <w:softHyphen/>
        <w:t>ности Получателя представить Администрации указанные бухгалтерские документы в срок не позднее двух недель со дня приемки оборудования в эксплуатацию, но не позднее _____ месяцев со дня получения субсидии.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234"/>
        <w:rPr/>
      </w:pPr>
      <w:r>
        <w:rPr/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spacing w:after="108" w:before="108"/>
      <w:contextualSpacing w:val="false"/>
      <w:jc w:val="center"/>
    </w:pPr>
    <w:rPr>
      <w:rFonts w:ascii="Arial" w:cs="Arial" w:hAnsi="Arial"/>
      <w:b/>
      <w:bCs/>
      <w:color w:val="000080"/>
      <w:sz w:val="20"/>
    </w:rPr>
  </w:style>
  <w:style w:styleId="style2" w:type="paragraph">
    <w:name w:val="Заголовок 2"/>
    <w:basedOn w:val="style219"/>
    <w:next w:val="style2"/>
    <w:pPr/>
    <w:rPr>
      <w:b/>
      <w:bCs/>
      <w:i/>
      <w:iCs/>
    </w:rPr>
  </w:style>
  <w:style w:styleId="style3" w:type="paragraph">
    <w:name w:val="Заголовок 3"/>
    <w:basedOn w:val="style219"/>
    <w:next w:val="style3"/>
    <w:pPr/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WW8Num1zfalse"/>
    <w:next w:val="style19"/>
    <w:rPr/>
  </w:style>
  <w:style w:styleId="style20" w:type="character">
    <w:name w:val="WW8Num1ztrue"/>
    <w:next w:val="style20"/>
    <w:rPr/>
  </w:style>
  <w:style w:styleId="style21" w:type="character">
    <w:name w:val="WW-WW8Num1ztrue"/>
    <w:next w:val="style21"/>
    <w:rPr/>
  </w:style>
  <w:style w:styleId="style22" w:type="character">
    <w:name w:val="WW-WW8Num1ztrue1"/>
    <w:next w:val="style22"/>
    <w:rPr/>
  </w:style>
  <w:style w:styleId="style23" w:type="character">
    <w:name w:val="WW-WW8Num1ztrue12"/>
    <w:next w:val="style23"/>
    <w:rPr/>
  </w:style>
  <w:style w:styleId="style24" w:type="character">
    <w:name w:val="WW-WW8Num1ztrue123"/>
    <w:next w:val="style24"/>
    <w:rPr/>
  </w:style>
  <w:style w:styleId="style25" w:type="character">
    <w:name w:val="WW-WW8Num1ztrue1234"/>
    <w:next w:val="style25"/>
    <w:rPr/>
  </w:style>
  <w:style w:styleId="style26" w:type="character">
    <w:name w:val="WW-WW8Num1ztrue12345"/>
    <w:next w:val="style26"/>
    <w:rPr/>
  </w:style>
  <w:style w:styleId="style27" w:type="character">
    <w:name w:val="WW-WW8Num1ztrue123456"/>
    <w:next w:val="style27"/>
    <w:rPr/>
  </w:style>
  <w:style w:styleId="style28" w:type="character">
    <w:name w:val="WW-WW8Num1ztrue1234567"/>
    <w:next w:val="style28"/>
    <w:rPr/>
  </w:style>
  <w:style w:styleId="style29" w:type="character">
    <w:name w:val="WW-WW8Num1ztrue11"/>
    <w:next w:val="style29"/>
    <w:rPr/>
  </w:style>
  <w:style w:styleId="style30" w:type="character">
    <w:name w:val="WW-WW8Num1ztrue121"/>
    <w:next w:val="style30"/>
    <w:rPr/>
  </w:style>
  <w:style w:styleId="style31" w:type="character">
    <w:name w:val="WW-WW8Num1ztrue1231"/>
    <w:next w:val="style31"/>
    <w:rPr/>
  </w:style>
  <w:style w:styleId="style32" w:type="character">
    <w:name w:val="WW-WW8Num1ztrue12341"/>
    <w:next w:val="style32"/>
    <w:rPr/>
  </w:style>
  <w:style w:styleId="style33" w:type="character">
    <w:name w:val="WW-WW8Num1ztrue123451"/>
    <w:next w:val="style33"/>
    <w:rPr/>
  </w:style>
  <w:style w:styleId="style34" w:type="character">
    <w:name w:val="WW-WW8Num1ztrue1234561"/>
    <w:next w:val="style34"/>
    <w:rPr/>
  </w:style>
  <w:style w:styleId="style35" w:type="character">
    <w:name w:val="WW-WW8Num1ztrue12345671"/>
    <w:next w:val="style35"/>
    <w:rPr/>
  </w:style>
  <w:style w:styleId="style36" w:type="character">
    <w:name w:val="WW-WW8Num1ztrue111"/>
    <w:next w:val="style36"/>
    <w:rPr/>
  </w:style>
  <w:style w:styleId="style37" w:type="character">
    <w:name w:val="WW-WW8Num1ztrue1211"/>
    <w:next w:val="style37"/>
    <w:rPr/>
  </w:style>
  <w:style w:styleId="style38" w:type="character">
    <w:name w:val="WW-WW8Num1ztrue12311"/>
    <w:next w:val="style38"/>
    <w:rPr/>
  </w:style>
  <w:style w:styleId="style39" w:type="character">
    <w:name w:val="WW-WW8Num1ztrue123411"/>
    <w:next w:val="style39"/>
    <w:rPr/>
  </w:style>
  <w:style w:styleId="style40" w:type="character">
    <w:name w:val="WW-WW8Num1ztrue1234511"/>
    <w:next w:val="style40"/>
    <w:rPr/>
  </w:style>
  <w:style w:styleId="style41" w:type="character">
    <w:name w:val="WW-WW8Num1ztrue12345611"/>
    <w:next w:val="style41"/>
    <w:rPr/>
  </w:style>
  <w:style w:styleId="style42" w:type="character">
    <w:name w:val="WW-WW8Num1ztrue123456711"/>
    <w:next w:val="style42"/>
    <w:rPr/>
  </w:style>
  <w:style w:styleId="style43" w:type="character">
    <w:name w:val="WW-WW8Num1ztrue1111"/>
    <w:next w:val="style43"/>
    <w:rPr/>
  </w:style>
  <w:style w:styleId="style44" w:type="character">
    <w:name w:val="WW-WW8Num1ztrue12111"/>
    <w:next w:val="style44"/>
    <w:rPr/>
  </w:style>
  <w:style w:styleId="style45" w:type="character">
    <w:name w:val="WW-WW8Num1ztrue123111"/>
    <w:next w:val="style45"/>
    <w:rPr/>
  </w:style>
  <w:style w:styleId="style46" w:type="character">
    <w:name w:val="WW-WW8Num1ztrue1234111"/>
    <w:next w:val="style46"/>
    <w:rPr/>
  </w:style>
  <w:style w:styleId="style47" w:type="character">
    <w:name w:val="WW-WW8Num1ztrue12345111"/>
    <w:next w:val="style47"/>
    <w:rPr/>
  </w:style>
  <w:style w:styleId="style48" w:type="character">
    <w:name w:val="WW-WW8Num1ztrue123456111"/>
    <w:next w:val="style48"/>
    <w:rPr/>
  </w:style>
  <w:style w:styleId="style49" w:type="character">
    <w:name w:val="WW-WW8Num1ztrue1234567111"/>
    <w:next w:val="style49"/>
    <w:rPr/>
  </w:style>
  <w:style w:styleId="style50" w:type="character">
    <w:name w:val="WW-WW8Num1ztrue11111"/>
    <w:next w:val="style50"/>
    <w:rPr/>
  </w:style>
  <w:style w:styleId="style51" w:type="character">
    <w:name w:val="WW-WW8Num1ztrue121111"/>
    <w:next w:val="style51"/>
    <w:rPr/>
  </w:style>
  <w:style w:styleId="style52" w:type="character">
    <w:name w:val="WW-WW8Num1ztrue1231111"/>
    <w:next w:val="style52"/>
    <w:rPr/>
  </w:style>
  <w:style w:styleId="style53" w:type="character">
    <w:name w:val="WW-WW8Num1ztrue12341111"/>
    <w:next w:val="style53"/>
    <w:rPr/>
  </w:style>
  <w:style w:styleId="style54" w:type="character">
    <w:name w:val="WW-WW8Num1ztrue123451111"/>
    <w:next w:val="style54"/>
    <w:rPr/>
  </w:style>
  <w:style w:styleId="style55" w:type="character">
    <w:name w:val="WW-WW8Num1ztrue1234561111"/>
    <w:next w:val="style55"/>
    <w:rPr/>
  </w:style>
  <w:style w:styleId="style56" w:type="character">
    <w:name w:val="WW-WW8Num1ztrue12345671111"/>
    <w:next w:val="style56"/>
    <w:rPr/>
  </w:style>
  <w:style w:styleId="style57" w:type="character">
    <w:name w:val="WW-WW8Num1ztrue111111"/>
    <w:next w:val="style57"/>
    <w:rPr/>
  </w:style>
  <w:style w:styleId="style58" w:type="character">
    <w:name w:val="WW-WW8Num1ztrue1211111"/>
    <w:next w:val="style58"/>
    <w:rPr/>
  </w:style>
  <w:style w:styleId="style59" w:type="character">
    <w:name w:val="WW-WW8Num1ztrue12311111"/>
    <w:next w:val="style59"/>
    <w:rPr/>
  </w:style>
  <w:style w:styleId="style60" w:type="character">
    <w:name w:val="WW-WW8Num1ztrue123411111"/>
    <w:next w:val="style60"/>
    <w:rPr/>
  </w:style>
  <w:style w:styleId="style61" w:type="character">
    <w:name w:val="WW-WW8Num1ztrue1234511111"/>
    <w:next w:val="style61"/>
    <w:rPr/>
  </w:style>
  <w:style w:styleId="style62" w:type="character">
    <w:name w:val="WW-WW8Num1ztrue12345611111"/>
    <w:next w:val="style62"/>
    <w:rPr/>
  </w:style>
  <w:style w:styleId="style63" w:type="character">
    <w:name w:val="WW-WW8Num1ztrue123456711111"/>
    <w:next w:val="style63"/>
    <w:rPr/>
  </w:style>
  <w:style w:styleId="style64" w:type="character">
    <w:name w:val="WW-WW8Num1ztrue1111111"/>
    <w:next w:val="style64"/>
    <w:rPr/>
  </w:style>
  <w:style w:styleId="style65" w:type="character">
    <w:name w:val="WW-WW8Num1ztrue12111111"/>
    <w:next w:val="style65"/>
    <w:rPr/>
  </w:style>
  <w:style w:styleId="style66" w:type="character">
    <w:name w:val="WW-WW8Num1ztrue123111111"/>
    <w:next w:val="style66"/>
    <w:rPr/>
  </w:style>
  <w:style w:styleId="style67" w:type="character">
    <w:name w:val="WW-WW8Num1ztrue1234111111"/>
    <w:next w:val="style67"/>
    <w:rPr/>
  </w:style>
  <w:style w:styleId="style68" w:type="character">
    <w:name w:val="WW-WW8Num1ztrue12345111111"/>
    <w:next w:val="style68"/>
    <w:rPr/>
  </w:style>
  <w:style w:styleId="style69" w:type="character">
    <w:name w:val="WW-WW8Num1ztrue123456111111"/>
    <w:next w:val="style69"/>
    <w:rPr/>
  </w:style>
  <w:style w:styleId="style70" w:type="character">
    <w:name w:val="WW-WW8Num1ztrue1234567111111"/>
    <w:next w:val="style70"/>
    <w:rPr/>
  </w:style>
  <w:style w:styleId="style71" w:type="character">
    <w:name w:val="WW-WW8Num1ztrue11111111"/>
    <w:next w:val="style71"/>
    <w:rPr/>
  </w:style>
  <w:style w:styleId="style72" w:type="character">
    <w:name w:val="WW-WW8Num1ztrue121111111"/>
    <w:next w:val="style72"/>
    <w:rPr/>
  </w:style>
  <w:style w:styleId="style73" w:type="character">
    <w:name w:val="WW-WW8Num1ztrue1231111111"/>
    <w:next w:val="style73"/>
    <w:rPr/>
  </w:style>
  <w:style w:styleId="style74" w:type="character">
    <w:name w:val="WW-WW8Num1ztrue12341111111"/>
    <w:next w:val="style74"/>
    <w:rPr/>
  </w:style>
  <w:style w:styleId="style75" w:type="character">
    <w:name w:val="WW-WW8Num1ztrue123451111111"/>
    <w:next w:val="style75"/>
    <w:rPr/>
  </w:style>
  <w:style w:styleId="style76" w:type="character">
    <w:name w:val="WW-WW8Num1ztrue1234561111111"/>
    <w:next w:val="style76"/>
    <w:rPr/>
  </w:style>
  <w:style w:styleId="style77" w:type="character">
    <w:name w:val="WW-WW8Num1ztrue12345671111111"/>
    <w:next w:val="style77"/>
    <w:rPr/>
  </w:style>
  <w:style w:styleId="style78" w:type="character">
    <w:name w:val="WW-WW8Num1ztrue111111111"/>
    <w:next w:val="style78"/>
    <w:rPr/>
  </w:style>
  <w:style w:styleId="style79" w:type="character">
    <w:name w:val="WW-WW8Num1ztrue1211111111"/>
    <w:next w:val="style79"/>
    <w:rPr/>
  </w:style>
  <w:style w:styleId="style80" w:type="character">
    <w:name w:val="WW-WW8Num1ztrue12311111111"/>
    <w:next w:val="style80"/>
    <w:rPr/>
  </w:style>
  <w:style w:styleId="style81" w:type="character">
    <w:name w:val="WW-WW8Num1ztrue123411111111"/>
    <w:next w:val="style81"/>
    <w:rPr/>
  </w:style>
  <w:style w:styleId="style82" w:type="character">
    <w:name w:val="WW-WW8Num1ztrue1234511111111"/>
    <w:next w:val="style82"/>
    <w:rPr/>
  </w:style>
  <w:style w:styleId="style83" w:type="character">
    <w:name w:val="WW-WW8Num1ztrue12345611111111"/>
    <w:next w:val="style83"/>
    <w:rPr/>
  </w:style>
  <w:style w:styleId="style84" w:type="character">
    <w:name w:val="WW-WW8Num1ztrue123456711111111"/>
    <w:next w:val="style84"/>
    <w:rPr/>
  </w:style>
  <w:style w:styleId="style85" w:type="character">
    <w:name w:val="WW-WW8Num1ztrue1111111111"/>
    <w:next w:val="style85"/>
    <w:rPr/>
  </w:style>
  <w:style w:styleId="style86" w:type="character">
    <w:name w:val="WW-WW8Num1ztrue12111111111"/>
    <w:next w:val="style86"/>
    <w:rPr/>
  </w:style>
  <w:style w:styleId="style87" w:type="character">
    <w:name w:val="WW-WW8Num1ztrue123111111111"/>
    <w:next w:val="style87"/>
    <w:rPr/>
  </w:style>
  <w:style w:styleId="style88" w:type="character">
    <w:name w:val="WW-WW8Num1ztrue1234111111111"/>
    <w:next w:val="style88"/>
    <w:rPr/>
  </w:style>
  <w:style w:styleId="style89" w:type="character">
    <w:name w:val="WW-WW8Num1ztrue12345111111111"/>
    <w:next w:val="style89"/>
    <w:rPr/>
  </w:style>
  <w:style w:styleId="style90" w:type="character">
    <w:name w:val="WW-WW8Num1ztrue123456111111111"/>
    <w:next w:val="style90"/>
    <w:rPr/>
  </w:style>
  <w:style w:styleId="style91" w:type="character">
    <w:name w:val="WW-WW8Num1ztrue1234567111111111"/>
    <w:next w:val="style91"/>
    <w:rPr/>
  </w:style>
  <w:style w:styleId="style92" w:type="character">
    <w:name w:val="WW-WW8Num1ztrue11111111111"/>
    <w:next w:val="style92"/>
    <w:rPr/>
  </w:style>
  <w:style w:styleId="style93" w:type="character">
    <w:name w:val="WW-WW8Num1ztrue121111111111"/>
    <w:next w:val="style93"/>
    <w:rPr/>
  </w:style>
  <w:style w:styleId="style94" w:type="character">
    <w:name w:val="WW-WW8Num1ztrue1231111111111"/>
    <w:next w:val="style94"/>
    <w:rPr/>
  </w:style>
  <w:style w:styleId="style95" w:type="character">
    <w:name w:val="WW-WW8Num1ztrue12341111111111"/>
    <w:next w:val="style95"/>
    <w:rPr/>
  </w:style>
  <w:style w:styleId="style96" w:type="character">
    <w:name w:val="WW-WW8Num1ztrue123451111111111"/>
    <w:next w:val="style96"/>
    <w:rPr/>
  </w:style>
  <w:style w:styleId="style97" w:type="character">
    <w:name w:val="WW-WW8Num1ztrue1234561111111111"/>
    <w:next w:val="style97"/>
    <w:rPr/>
  </w:style>
  <w:style w:styleId="style98" w:type="character">
    <w:name w:val="WW-WW8Num1ztrue12345671111111111"/>
    <w:next w:val="style98"/>
    <w:rPr/>
  </w:style>
  <w:style w:styleId="style99" w:type="character">
    <w:name w:val="WW-WW8Num1ztrue111111111111"/>
    <w:next w:val="style99"/>
    <w:rPr/>
  </w:style>
  <w:style w:styleId="style100" w:type="character">
    <w:name w:val="WW-WW8Num1ztrue1211111111111"/>
    <w:next w:val="style100"/>
    <w:rPr/>
  </w:style>
  <w:style w:styleId="style101" w:type="character">
    <w:name w:val="WW-WW8Num1ztrue12311111111111"/>
    <w:next w:val="style101"/>
    <w:rPr/>
  </w:style>
  <w:style w:styleId="style102" w:type="character">
    <w:name w:val="WW-WW8Num1ztrue123411111111111"/>
    <w:next w:val="style102"/>
    <w:rPr/>
  </w:style>
  <w:style w:styleId="style103" w:type="character">
    <w:name w:val="WW-WW8Num1ztrue1234511111111111"/>
    <w:next w:val="style103"/>
    <w:rPr/>
  </w:style>
  <w:style w:styleId="style104" w:type="character">
    <w:name w:val="WW-WW8Num1ztrue12345611111111111"/>
    <w:next w:val="style104"/>
    <w:rPr/>
  </w:style>
  <w:style w:styleId="style105" w:type="character">
    <w:name w:val="WW-WW8Num1ztrue123456711111111111"/>
    <w:next w:val="style105"/>
    <w:rPr/>
  </w:style>
  <w:style w:styleId="style106" w:type="character">
    <w:name w:val="WW-WW8Num1ztrue1111111111111"/>
    <w:next w:val="style106"/>
    <w:rPr/>
  </w:style>
  <w:style w:styleId="style107" w:type="character">
    <w:name w:val="WW-WW8Num1ztrue12111111111111"/>
    <w:next w:val="style107"/>
    <w:rPr/>
  </w:style>
  <w:style w:styleId="style108" w:type="character">
    <w:name w:val="WW-WW8Num1ztrue123111111111111"/>
    <w:next w:val="style108"/>
    <w:rPr/>
  </w:style>
  <w:style w:styleId="style109" w:type="character">
    <w:name w:val="WW-WW8Num1ztrue1234111111111111"/>
    <w:next w:val="style109"/>
    <w:rPr/>
  </w:style>
  <w:style w:styleId="style110" w:type="character">
    <w:name w:val="WW-WW8Num1ztrue12345111111111111"/>
    <w:next w:val="style110"/>
    <w:rPr/>
  </w:style>
  <w:style w:styleId="style111" w:type="character">
    <w:name w:val="WW-WW8Num1ztrue123456111111111111"/>
    <w:next w:val="style111"/>
    <w:rPr/>
  </w:style>
  <w:style w:styleId="style112" w:type="character">
    <w:name w:val="WW-WW8Num1ztrue1234567111111111111"/>
    <w:next w:val="style112"/>
    <w:rPr/>
  </w:style>
  <w:style w:styleId="style113" w:type="character">
    <w:name w:val="WW-WW8Num1ztrue11111111111111"/>
    <w:next w:val="style113"/>
    <w:rPr/>
  </w:style>
  <w:style w:styleId="style114" w:type="character">
    <w:name w:val="WW-WW8Num1ztrue121111111111111"/>
    <w:next w:val="style114"/>
    <w:rPr/>
  </w:style>
  <w:style w:styleId="style115" w:type="character">
    <w:name w:val="WW-WW8Num1ztrue1231111111111111"/>
    <w:next w:val="style115"/>
    <w:rPr/>
  </w:style>
  <w:style w:styleId="style116" w:type="character">
    <w:name w:val="WW-WW8Num1ztrue12341111111111111"/>
    <w:next w:val="style116"/>
    <w:rPr/>
  </w:style>
  <w:style w:styleId="style117" w:type="character">
    <w:name w:val="WW-WW8Num1ztrue123451111111111111"/>
    <w:next w:val="style117"/>
    <w:rPr/>
  </w:style>
  <w:style w:styleId="style118" w:type="character">
    <w:name w:val="WW-WW8Num1ztrue1234561111111111111"/>
    <w:next w:val="style118"/>
    <w:rPr/>
  </w:style>
  <w:style w:styleId="style119" w:type="character">
    <w:name w:val="WW-WW8Num1ztrue12345671111111111111"/>
    <w:next w:val="style119"/>
    <w:rPr/>
  </w:style>
  <w:style w:styleId="style120" w:type="character">
    <w:name w:val="WW-WW8Num1ztrue111111111111111"/>
    <w:next w:val="style120"/>
    <w:rPr/>
  </w:style>
  <w:style w:styleId="style121" w:type="character">
    <w:name w:val="WW-WW8Num1ztrue1211111111111111"/>
    <w:next w:val="style121"/>
    <w:rPr/>
  </w:style>
  <w:style w:styleId="style122" w:type="character">
    <w:name w:val="WW-WW8Num1ztrue12311111111111111"/>
    <w:next w:val="style122"/>
    <w:rPr/>
  </w:style>
  <w:style w:styleId="style123" w:type="character">
    <w:name w:val="WW-WW8Num1ztrue123411111111111111"/>
    <w:next w:val="style123"/>
    <w:rPr/>
  </w:style>
  <w:style w:styleId="style124" w:type="character">
    <w:name w:val="WW-WW8Num1ztrue1234511111111111111"/>
    <w:next w:val="style124"/>
    <w:rPr/>
  </w:style>
  <w:style w:styleId="style125" w:type="character">
    <w:name w:val="WW-WW8Num1ztrue12345611111111111111"/>
    <w:next w:val="style125"/>
    <w:rPr/>
  </w:style>
  <w:style w:styleId="style126" w:type="character">
    <w:name w:val="WW-WW8Num1ztrue123456711111111111111"/>
    <w:next w:val="style126"/>
    <w:rPr/>
  </w:style>
  <w:style w:styleId="style127" w:type="character">
    <w:name w:val="WW-WW8Num1ztrue1111111111111111"/>
    <w:next w:val="style127"/>
    <w:rPr/>
  </w:style>
  <w:style w:styleId="style128" w:type="character">
    <w:name w:val="WW-WW8Num1ztrue12111111111111111"/>
    <w:next w:val="style128"/>
    <w:rPr/>
  </w:style>
  <w:style w:styleId="style129" w:type="character">
    <w:name w:val="WW-WW8Num1ztrue123111111111111111"/>
    <w:next w:val="style129"/>
    <w:rPr/>
  </w:style>
  <w:style w:styleId="style130" w:type="character">
    <w:name w:val="WW-WW8Num1ztrue1234111111111111111"/>
    <w:next w:val="style130"/>
    <w:rPr/>
  </w:style>
  <w:style w:styleId="style131" w:type="character">
    <w:name w:val="WW-WW8Num1ztrue12345111111111111111"/>
    <w:next w:val="style131"/>
    <w:rPr/>
  </w:style>
  <w:style w:styleId="style132" w:type="character">
    <w:name w:val="WW-WW8Num1ztrue123456111111111111111"/>
    <w:next w:val="style132"/>
    <w:rPr/>
  </w:style>
  <w:style w:styleId="style133" w:type="character">
    <w:name w:val="WW-WW8Num1ztrue1234567111111111111111"/>
    <w:next w:val="style133"/>
    <w:rPr/>
  </w:style>
  <w:style w:styleId="style134" w:type="character">
    <w:name w:val="WW-WW8Num1ztrue11111111111111111"/>
    <w:next w:val="style134"/>
    <w:rPr/>
  </w:style>
  <w:style w:styleId="style135" w:type="character">
    <w:name w:val="WW-WW8Num1ztrue121111111111111111"/>
    <w:next w:val="style135"/>
    <w:rPr/>
  </w:style>
  <w:style w:styleId="style136" w:type="character">
    <w:name w:val="WW-WW8Num1ztrue1231111111111111111"/>
    <w:next w:val="style136"/>
    <w:rPr/>
  </w:style>
  <w:style w:styleId="style137" w:type="character">
    <w:name w:val="WW-WW8Num1ztrue12341111111111111111"/>
    <w:next w:val="style137"/>
    <w:rPr/>
  </w:style>
  <w:style w:styleId="style138" w:type="character">
    <w:name w:val="WW-WW8Num1ztrue123451111111111111111"/>
    <w:next w:val="style138"/>
    <w:rPr/>
  </w:style>
  <w:style w:styleId="style139" w:type="character">
    <w:name w:val="WW-WW8Num1ztrue1234561111111111111111"/>
    <w:next w:val="style139"/>
    <w:rPr/>
  </w:style>
  <w:style w:styleId="style140" w:type="character">
    <w:name w:val="WW-WW8Num1ztrue12345671111111111111111"/>
    <w:next w:val="style140"/>
    <w:rPr/>
  </w:style>
  <w:style w:styleId="style141" w:type="character">
    <w:name w:val="WW-WW8Num1ztrue111111111111111111"/>
    <w:next w:val="style141"/>
    <w:rPr/>
  </w:style>
  <w:style w:styleId="style142" w:type="character">
    <w:name w:val="WW-WW8Num1ztrue1211111111111111111"/>
    <w:next w:val="style142"/>
    <w:rPr/>
  </w:style>
  <w:style w:styleId="style143" w:type="character">
    <w:name w:val="WW-WW8Num1ztrue12311111111111111111"/>
    <w:next w:val="style143"/>
    <w:rPr/>
  </w:style>
  <w:style w:styleId="style144" w:type="character">
    <w:name w:val="WW-WW8Num1ztrue123411111111111111111"/>
    <w:next w:val="style144"/>
    <w:rPr/>
  </w:style>
  <w:style w:styleId="style145" w:type="character">
    <w:name w:val="WW-WW8Num1ztrue1234511111111111111111"/>
    <w:next w:val="style145"/>
    <w:rPr/>
  </w:style>
  <w:style w:styleId="style146" w:type="character">
    <w:name w:val="WW-WW8Num1ztrue12345611111111111111111"/>
    <w:next w:val="style146"/>
    <w:rPr/>
  </w:style>
  <w:style w:styleId="style147" w:type="character">
    <w:name w:val="WW-WW8Num1ztrue123456711111111111111111"/>
    <w:next w:val="style147"/>
    <w:rPr/>
  </w:style>
  <w:style w:styleId="style148" w:type="character">
    <w:name w:val="WW-WW8Num1ztrue1111111111111111111"/>
    <w:next w:val="style148"/>
    <w:rPr/>
  </w:style>
  <w:style w:styleId="style149" w:type="character">
    <w:name w:val="WW-WW8Num1ztrue12111111111111111111"/>
    <w:next w:val="style149"/>
    <w:rPr/>
  </w:style>
  <w:style w:styleId="style150" w:type="character">
    <w:name w:val="WW-WW8Num1ztrue123111111111111111111"/>
    <w:next w:val="style150"/>
    <w:rPr/>
  </w:style>
  <w:style w:styleId="style151" w:type="character">
    <w:name w:val="WW-WW8Num1ztrue1234111111111111111111"/>
    <w:next w:val="style151"/>
    <w:rPr/>
  </w:style>
  <w:style w:styleId="style152" w:type="character">
    <w:name w:val="WW-WW8Num1ztrue12345111111111111111111"/>
    <w:next w:val="style152"/>
    <w:rPr/>
  </w:style>
  <w:style w:styleId="style153" w:type="character">
    <w:name w:val="WW-WW8Num1ztrue123456111111111111111111"/>
    <w:next w:val="style153"/>
    <w:rPr/>
  </w:style>
  <w:style w:styleId="style154" w:type="character">
    <w:name w:val="WW-WW8Num1ztrue1234567111111111111111111"/>
    <w:next w:val="style154"/>
    <w:rPr/>
  </w:style>
  <w:style w:styleId="style155" w:type="character">
    <w:name w:val="WW-WW8Num1ztrue11111111111111111111"/>
    <w:next w:val="style155"/>
    <w:rPr/>
  </w:style>
  <w:style w:styleId="style156" w:type="character">
    <w:name w:val="WW-WW8Num1ztrue121111111111111111111"/>
    <w:next w:val="style156"/>
    <w:rPr/>
  </w:style>
  <w:style w:styleId="style157" w:type="character">
    <w:name w:val="WW-WW8Num1ztrue1231111111111111111111"/>
    <w:next w:val="style157"/>
    <w:rPr/>
  </w:style>
  <w:style w:styleId="style158" w:type="character">
    <w:name w:val="WW-WW8Num1ztrue12341111111111111111111"/>
    <w:next w:val="style158"/>
    <w:rPr/>
  </w:style>
  <w:style w:styleId="style159" w:type="character">
    <w:name w:val="WW-WW8Num1ztrue123451111111111111111111"/>
    <w:next w:val="style159"/>
    <w:rPr/>
  </w:style>
  <w:style w:styleId="style160" w:type="character">
    <w:name w:val="WW-WW8Num1ztrue1234561111111111111111111"/>
    <w:next w:val="style160"/>
    <w:rPr/>
  </w:style>
  <w:style w:styleId="style161" w:type="character">
    <w:name w:val="WW-WW8Num1ztrue12345671111111111111111111"/>
    <w:next w:val="style161"/>
    <w:rPr/>
  </w:style>
  <w:style w:styleId="style162" w:type="character">
    <w:name w:val="WW-WW8Num1ztrue111111111111111111111"/>
    <w:next w:val="style162"/>
    <w:rPr/>
  </w:style>
  <w:style w:styleId="style163" w:type="character">
    <w:name w:val="WW-WW8Num1ztrue1211111111111111111111"/>
    <w:next w:val="style163"/>
    <w:rPr/>
  </w:style>
  <w:style w:styleId="style164" w:type="character">
    <w:name w:val="WW-WW8Num1ztrue12311111111111111111111"/>
    <w:next w:val="style164"/>
    <w:rPr/>
  </w:style>
  <w:style w:styleId="style165" w:type="character">
    <w:name w:val="WW-WW8Num1ztrue123411111111111111111111"/>
    <w:next w:val="style165"/>
    <w:rPr/>
  </w:style>
  <w:style w:styleId="style166" w:type="character">
    <w:name w:val="WW-WW8Num1ztrue1234511111111111111111111"/>
    <w:next w:val="style166"/>
    <w:rPr/>
  </w:style>
  <w:style w:styleId="style167" w:type="character">
    <w:name w:val="WW-WW8Num1ztrue12345611111111111111111111"/>
    <w:next w:val="style167"/>
    <w:rPr/>
  </w:style>
  <w:style w:styleId="style168" w:type="character">
    <w:name w:val="WW-WW8Num1ztrue123456711111111111111111111"/>
    <w:next w:val="style168"/>
    <w:rPr/>
  </w:style>
  <w:style w:styleId="style169" w:type="character">
    <w:name w:val="WW-WW8Num1ztrue1111111111111111111111"/>
    <w:next w:val="style169"/>
    <w:rPr/>
  </w:style>
  <w:style w:styleId="style170" w:type="character">
    <w:name w:val="WW-WW8Num1ztrue12111111111111111111111"/>
    <w:next w:val="style170"/>
    <w:rPr/>
  </w:style>
  <w:style w:styleId="style171" w:type="character">
    <w:name w:val="WW-WW8Num1ztrue123111111111111111111111"/>
    <w:next w:val="style171"/>
    <w:rPr/>
  </w:style>
  <w:style w:styleId="style172" w:type="character">
    <w:name w:val="WW-WW8Num1ztrue1234111111111111111111111"/>
    <w:next w:val="style172"/>
    <w:rPr/>
  </w:style>
  <w:style w:styleId="style173" w:type="character">
    <w:name w:val="WW-WW8Num1ztrue12345111111111111111111111"/>
    <w:next w:val="style173"/>
    <w:rPr/>
  </w:style>
  <w:style w:styleId="style174" w:type="character">
    <w:name w:val="WW-WW8Num1ztrue123456111111111111111111111"/>
    <w:next w:val="style174"/>
    <w:rPr/>
  </w:style>
  <w:style w:styleId="style175" w:type="character">
    <w:name w:val="WW-WW8Num1ztrue1234567111111111111111111111"/>
    <w:next w:val="style175"/>
    <w:rPr/>
  </w:style>
  <w:style w:styleId="style176" w:type="character">
    <w:name w:val="WW-WW8Num1ztrue11111111111111111111111"/>
    <w:next w:val="style176"/>
    <w:rPr/>
  </w:style>
  <w:style w:styleId="style177" w:type="character">
    <w:name w:val="WW-WW8Num1ztrue121111111111111111111111"/>
    <w:next w:val="style177"/>
    <w:rPr/>
  </w:style>
  <w:style w:styleId="style178" w:type="character">
    <w:name w:val="WW-WW8Num1ztrue1231111111111111111111111"/>
    <w:next w:val="style178"/>
    <w:rPr/>
  </w:style>
  <w:style w:styleId="style179" w:type="character">
    <w:name w:val="WW-WW8Num1ztrue12341111111111111111111111"/>
    <w:next w:val="style179"/>
    <w:rPr/>
  </w:style>
  <w:style w:styleId="style180" w:type="character">
    <w:name w:val="WW-WW8Num1ztrue123451111111111111111111111"/>
    <w:next w:val="style180"/>
    <w:rPr/>
  </w:style>
  <w:style w:styleId="style181" w:type="character">
    <w:name w:val="WW-WW8Num1ztrue1234561111111111111111111111"/>
    <w:next w:val="style181"/>
    <w:rPr/>
  </w:style>
  <w:style w:styleId="style182" w:type="character">
    <w:name w:val="WW8Num2z0"/>
    <w:next w:val="style182"/>
    <w:rPr>
      <w:rFonts w:ascii="Symbol" w:hAnsi="Symbol"/>
    </w:rPr>
  </w:style>
  <w:style w:styleId="style183" w:type="character">
    <w:name w:val="WW8Num2z1"/>
    <w:next w:val="style183"/>
    <w:rPr>
      <w:rFonts w:eastAsia="Times New Roman"/>
    </w:rPr>
  </w:style>
  <w:style w:styleId="style184" w:type="character">
    <w:name w:val="WW-WW8Num1ztrue12345671111111111111111111111"/>
    <w:next w:val="style184"/>
    <w:rPr/>
  </w:style>
  <w:style w:styleId="style185" w:type="character">
    <w:name w:val="WW-WW8Num1ztrue111111111111111111111111"/>
    <w:next w:val="style185"/>
    <w:rPr/>
  </w:style>
  <w:style w:styleId="style186" w:type="character">
    <w:name w:val="WW-WW8Num1ztrue1211111111111111111111111"/>
    <w:next w:val="style186"/>
    <w:rPr/>
  </w:style>
  <w:style w:styleId="style187" w:type="character">
    <w:name w:val="WW-WW8Num1ztrue12311111111111111111111111"/>
    <w:next w:val="style187"/>
    <w:rPr/>
  </w:style>
  <w:style w:styleId="style188" w:type="character">
    <w:name w:val="WW-WW8Num1ztrue123411111111111111111111111"/>
    <w:next w:val="style188"/>
    <w:rPr/>
  </w:style>
  <w:style w:styleId="style189" w:type="character">
    <w:name w:val="WW-WW8Num1ztrue1234511111111111111111111111"/>
    <w:next w:val="style189"/>
    <w:rPr/>
  </w:style>
  <w:style w:styleId="style190" w:type="character">
    <w:name w:val="WW-WW8Num1ztrue12345611111111111111111111111"/>
    <w:next w:val="style190"/>
    <w:rPr/>
  </w:style>
  <w:style w:styleId="style191" w:type="character">
    <w:name w:val="WW-WW8Num1ztrue123456711111111111111111111111"/>
    <w:next w:val="style191"/>
    <w:rPr/>
  </w:style>
  <w:style w:styleId="style192" w:type="character">
    <w:name w:val="WW-WW8Num1ztrue1111111111111111111111111"/>
    <w:next w:val="style192"/>
    <w:rPr/>
  </w:style>
  <w:style w:styleId="style193" w:type="character">
    <w:name w:val="WW-WW8Num1ztrue12111111111111111111111111"/>
    <w:next w:val="style193"/>
    <w:rPr/>
  </w:style>
  <w:style w:styleId="style194" w:type="character">
    <w:name w:val="WW-WW8Num1ztrue123111111111111111111111111"/>
    <w:next w:val="style194"/>
    <w:rPr/>
  </w:style>
  <w:style w:styleId="style195" w:type="character">
    <w:name w:val="WW-WW8Num1ztrue1234111111111111111111111111"/>
    <w:next w:val="style195"/>
    <w:rPr/>
  </w:style>
  <w:style w:styleId="style196" w:type="character">
    <w:name w:val="WW-WW8Num1ztrue12345111111111111111111111111"/>
    <w:next w:val="style196"/>
    <w:rPr/>
  </w:style>
  <w:style w:styleId="style197" w:type="character">
    <w:name w:val="WW-WW8Num1ztrue123456111111111111111111111111"/>
    <w:next w:val="style197"/>
    <w:rPr/>
  </w:style>
  <w:style w:styleId="style198" w:type="character">
    <w:name w:val="WW-WW8Num1ztrue1234567111111111111111111111111"/>
    <w:next w:val="style198"/>
    <w:rPr/>
  </w:style>
  <w:style w:styleId="style199" w:type="character">
    <w:name w:val="WW-WW8Num1ztrue11111111111111111111111111"/>
    <w:next w:val="style199"/>
    <w:rPr/>
  </w:style>
  <w:style w:styleId="style200" w:type="character">
    <w:name w:val="WW-WW8Num1ztrue121111111111111111111111111"/>
    <w:next w:val="style200"/>
    <w:rPr/>
  </w:style>
  <w:style w:styleId="style201" w:type="character">
    <w:name w:val="WW-WW8Num1ztrue1231111111111111111111111111"/>
    <w:next w:val="style201"/>
    <w:rPr/>
  </w:style>
  <w:style w:styleId="style202" w:type="character">
    <w:name w:val="WW-WW8Num1ztrue12341111111111111111111111111"/>
    <w:next w:val="style202"/>
    <w:rPr/>
  </w:style>
  <w:style w:styleId="style203" w:type="character">
    <w:name w:val="WW-WW8Num1ztrue123451111111111111111111111111"/>
    <w:next w:val="style203"/>
    <w:rPr/>
  </w:style>
  <w:style w:styleId="style204" w:type="character">
    <w:name w:val="WW-WW8Num1ztrue1234561111111111111111111111111"/>
    <w:next w:val="style204"/>
    <w:rPr/>
  </w:style>
  <w:style w:styleId="style205" w:type="character">
    <w:name w:val="Интернет-ссылка"/>
    <w:next w:val="style205"/>
    <w:rPr>
      <w:color w:val="0000FF"/>
      <w:u w:val="single"/>
      <w:lang w:bidi="zxx-" w:eastAsia="zxx-" w:val="zxx-"/>
    </w:rPr>
  </w:style>
  <w:style w:styleId="style206" w:type="character">
    <w:name w:val="WW8Num6z0"/>
    <w:next w:val="style206"/>
    <w:rPr>
      <w:rFonts w:ascii="Symbol" w:hAnsi="Symbol"/>
    </w:rPr>
  </w:style>
  <w:style w:styleId="style207" w:type="character">
    <w:name w:val="WW8Num6z1"/>
    <w:next w:val="style207"/>
    <w:rPr>
      <w:rFonts w:eastAsia="Times New Roman"/>
    </w:rPr>
  </w:style>
  <w:style w:styleId="style208" w:type="character">
    <w:name w:val="WW8Num6ztrue"/>
    <w:next w:val="style208"/>
    <w:rPr>
      <w:rFonts w:eastAsia="Times New Roman"/>
    </w:rPr>
  </w:style>
  <w:style w:styleId="style209" w:type="character">
    <w:name w:val="Привязка сноски"/>
    <w:next w:val="style209"/>
    <w:rPr>
      <w:vertAlign w:val="superscript"/>
    </w:rPr>
  </w:style>
  <w:style w:styleId="style210" w:type="character">
    <w:name w:val="Символы концевой сноски"/>
    <w:next w:val="style210"/>
    <w:rPr>
      <w:vertAlign w:val="superscript"/>
    </w:rPr>
  </w:style>
  <w:style w:styleId="style211" w:type="character">
    <w:name w:val="WW-Символы концевой сноски"/>
    <w:next w:val="style211"/>
    <w:rPr/>
  </w:style>
  <w:style w:styleId="style212" w:type="character">
    <w:name w:val="Привязка концевой сноски"/>
    <w:next w:val="style212"/>
    <w:rPr>
      <w:vertAlign w:val="superscript"/>
    </w:rPr>
  </w:style>
  <w:style w:styleId="style213" w:type="character">
    <w:name w:val="Body Text Char"/>
    <w:basedOn w:val="style15"/>
    <w:next w:val="style213"/>
    <w:rPr/>
  </w:style>
  <w:style w:styleId="style214" w:type="character">
    <w:name w:val="Title Char"/>
    <w:basedOn w:val="style15"/>
    <w:next w:val="style214"/>
    <w:rPr>
      <w:rFonts w:ascii="Cambria" w:cs="" w:hAnsi="Cambria"/>
      <w:b/>
      <w:bCs/>
      <w:sz w:val="32"/>
      <w:szCs w:val="32"/>
    </w:rPr>
  </w:style>
  <w:style w:styleId="style215" w:type="character">
    <w:name w:val="Header Char"/>
    <w:basedOn w:val="style15"/>
    <w:next w:val="style215"/>
    <w:rPr/>
  </w:style>
  <w:style w:styleId="style216" w:type="character">
    <w:name w:val="Footer Char"/>
    <w:basedOn w:val="style15"/>
    <w:next w:val="style216"/>
    <w:rPr/>
  </w:style>
  <w:style w:styleId="style217" w:type="character">
    <w:name w:val="ListLabel 1"/>
    <w:next w:val="style217"/>
    <w:rPr>
      <w:rFonts w:cs="Times New Roman"/>
    </w:rPr>
  </w:style>
  <w:style w:styleId="style218" w:type="character">
    <w:name w:val="Символ сноски"/>
    <w:next w:val="style218"/>
    <w:rPr/>
  </w:style>
  <w:style w:styleId="style219" w:type="paragraph">
    <w:name w:val="Заголовок"/>
    <w:basedOn w:val="style0"/>
    <w:next w:val="style2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0" w:type="paragraph">
    <w:name w:val="Основной текст"/>
    <w:basedOn w:val="style0"/>
    <w:next w:val="style220"/>
    <w:pPr>
      <w:spacing w:after="120" w:before="0"/>
      <w:contextualSpacing w:val="false"/>
    </w:pPr>
    <w:rPr/>
  </w:style>
  <w:style w:styleId="style221" w:type="paragraph">
    <w:name w:val="Список"/>
    <w:basedOn w:val="style220"/>
    <w:next w:val="style221"/>
    <w:pPr/>
    <w:rPr>
      <w:rFonts w:cs="Mangal"/>
    </w:rPr>
  </w:style>
  <w:style w:styleId="style222" w:type="paragraph">
    <w:name w:val="Название"/>
    <w:basedOn w:val="style0"/>
    <w:next w:val="style2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3" w:type="paragraph">
    <w:name w:val="Указатель"/>
    <w:basedOn w:val="style0"/>
    <w:next w:val="style223"/>
    <w:pPr>
      <w:suppressLineNumbers/>
    </w:pPr>
    <w:rPr>
      <w:rFonts w:cs="Mangal"/>
    </w:rPr>
  </w:style>
  <w:style w:styleId="style224" w:type="paragraph">
    <w:name w:val="Заглавие"/>
    <w:basedOn w:val="style0"/>
    <w:next w:val="style224"/>
    <w:pPr>
      <w:suppressLineNumbers/>
      <w:spacing w:after="120" w:before="120"/>
      <w:contextualSpacing w:val="false"/>
      <w:jc w:val="left"/>
    </w:pPr>
    <w:rPr>
      <w:i/>
      <w:iCs/>
    </w:rPr>
  </w:style>
  <w:style w:styleId="style225" w:type="paragraph">
    <w:name w:val="index 1"/>
    <w:basedOn w:val="style0"/>
    <w:next w:val="style225"/>
    <w:pPr>
      <w:ind w:hanging="220" w:left="220" w:right="0"/>
    </w:pPr>
    <w:rPr/>
  </w:style>
  <w:style w:styleId="style226" w:type="paragraph">
    <w:name w:val="index heading"/>
    <w:basedOn w:val="style0"/>
    <w:next w:val="style226"/>
    <w:pPr>
      <w:suppressLineNumbers/>
    </w:pPr>
    <w:rPr/>
  </w:style>
  <w:style w:styleId="style227" w:type="paragraph">
    <w:name w:val="ConsPlusNormal"/>
    <w:next w:val="style227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28" w:type="paragraph">
    <w:name w:val="ConsPlusNormal1"/>
    <w:next w:val="style228"/>
    <w:pPr>
      <w:widowControl/>
      <w:suppressAutoHyphens w:val="true"/>
    </w:pPr>
    <w:rPr>
      <w:rFonts w:ascii="Arial" w:cs="Tahoma" w:eastAsia="Times New Roman" w:hAnsi="Arial"/>
      <w:color w:val="00000A"/>
      <w:sz w:val="20"/>
      <w:szCs w:val="24"/>
      <w:lang w:bidi="hi-IN" w:eastAsia="zh-CN" w:val="ru-RU"/>
    </w:rPr>
  </w:style>
  <w:style w:styleId="style229" w:type="paragraph">
    <w:name w:val=".FORMATTEXT"/>
    <w:next w:val="style229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230" w:type="paragraph">
    <w:name w:val="Таблицы (моноширинный)"/>
    <w:basedOn w:val="style0"/>
    <w:next w:val="style230"/>
    <w:pPr/>
    <w:rPr>
      <w:rFonts w:ascii="Courier New" w:cs="Courier New" w:eastAsia="SimSun;宋体" w:hAnsi="Courier New"/>
    </w:rPr>
  </w:style>
  <w:style w:styleId="style231" w:type="paragraph">
    <w:name w:val="ConsPlusNonformat"/>
    <w:next w:val="style231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232" w:type="paragraph">
    <w:name w:val="ConsPlusDocList"/>
    <w:next w:val="style232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hi-IN" w:eastAsia="zh-CN" w:val="ru-RU"/>
    </w:rPr>
  </w:style>
  <w:style w:styleId="style233" w:type="paragraph">
    <w:name w:val="Верхний колонтитул"/>
    <w:basedOn w:val="style0"/>
    <w:next w:val="style233"/>
    <w:pPr>
      <w:tabs>
        <w:tab w:leader="none" w:pos="4677" w:val="center"/>
        <w:tab w:leader="none" w:pos="9355" w:val="right"/>
      </w:tabs>
    </w:pPr>
    <w:rPr/>
  </w:style>
  <w:style w:styleId="style234" w:type="paragraph">
    <w:name w:val="Сноска"/>
    <w:basedOn w:val="style0"/>
    <w:next w:val="style234"/>
    <w:pPr>
      <w:suppressLineNumbers/>
      <w:ind w:hanging="339" w:left="339" w:right="0"/>
    </w:pPr>
    <w:rPr>
      <w:sz w:val="20"/>
      <w:szCs w:val="20"/>
    </w:rPr>
  </w:style>
  <w:style w:styleId="style235" w:type="paragraph">
    <w:name w:val="Содержимое таблицы"/>
    <w:basedOn w:val="style0"/>
    <w:next w:val="style235"/>
    <w:pPr>
      <w:suppressLineNumbers/>
    </w:pPr>
    <w:rPr/>
  </w:style>
  <w:style w:styleId="style236" w:type="paragraph">
    <w:name w:val="Заголовок таблицы"/>
    <w:basedOn w:val="style235"/>
    <w:next w:val="style236"/>
    <w:pPr>
      <w:jc w:val="center"/>
    </w:pPr>
    <w:rPr>
      <w:b/>
      <w:bCs/>
    </w:rPr>
  </w:style>
  <w:style w:styleId="style237" w:type="paragraph">
    <w:name w:val="Нижний колонтитул"/>
    <w:basedOn w:val="style0"/>
    <w:next w:val="style237"/>
    <w:pPr>
      <w:suppressLineNumbers/>
      <w:tabs>
        <w:tab w:leader="none" w:pos="4819" w:val="center"/>
        <w:tab w:leader="none" w:pos="9638" w:val="right"/>
      </w:tabs>
    </w:pPr>
    <w:rPr/>
  </w:style>
  <w:style w:styleId="style238" w:type="paragraph">
    <w:name w:val="ConsPlusCell"/>
    <w:next w:val="style238"/>
    <w:pPr>
      <w:widowControl/>
      <w:suppressAutoHyphens w:val="true"/>
    </w:pPr>
    <w:rPr>
      <w:rFonts w:ascii="Arial" w:cs="Tahoma" w:eastAsia="Times New Roman" w:hAnsi="Arial"/>
      <w:color w:val="00000A"/>
      <w:sz w:val="20"/>
      <w:szCs w:val="24"/>
      <w:lang w:bidi="hi-IN" w:eastAsia="zh-CN" w:val="ru-RU"/>
    </w:rPr>
  </w:style>
  <w:style w:styleId="style239" w:type="paragraph">
    <w:name w:val="ConsPlusNonformat1"/>
    <w:next w:val="style239"/>
    <w:pPr>
      <w:widowControl/>
      <w:suppressAutoHyphens w:val="true"/>
    </w:pPr>
    <w:rPr>
      <w:rFonts w:ascii="Courier New" w:cs="Tahoma" w:eastAsia="Times New Roman" w:hAnsi="Courier New"/>
      <w:color w:val="00000A"/>
      <w:sz w:val="20"/>
      <w:szCs w:val="24"/>
      <w:lang w:bidi="hi-IN" w:eastAsia="zh-CN" w:val="ru-RU"/>
    </w:rPr>
  </w:style>
  <w:style w:styleId="style240" w:type="paragraph">
    <w:name w:val="ConsPlusTitle"/>
    <w:next w:val="style240"/>
    <w:pPr>
      <w:widowControl/>
      <w:suppressAutoHyphens w:val="true"/>
    </w:pPr>
    <w:rPr>
      <w:rFonts w:ascii="Arial" w:cs="Tahoma" w:eastAsia="Times New Roman" w:hAnsi="Arial"/>
      <w:b/>
      <w:color w:val="00000A"/>
      <w:sz w:val="20"/>
      <w:szCs w:val="24"/>
      <w:lang w:bidi="hi-IN" w:eastAsia="zh-CN" w:val="ru-RU"/>
    </w:rPr>
  </w:style>
  <w:style w:styleId="style241" w:type="paragraph">
    <w:name w:val="ConsNormal"/>
    <w:next w:val="style241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2013-11-14T09:32:00Z</dcterms:created>
  <dc:creator>ConsultantPlus</dc:creator>
  <cp:lastModifiedBy>12</cp:lastModifiedBy>
  <cp:lastPrinted>2014-10-24T12:24:23Z</cp:lastPrinted>
  <dcterms:modified xsi:type="dcterms:W3CDTF">2014-10-20T13:22:00Z</dcterms:modified>
  <cp:revision>2</cp:revision>
  <dc:title>Федеральный закон от 24.07.2009 N 212-ФЗ(ред. от 04.06.2014)"О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dc:title>
</cp:coreProperties>
</file>